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35129">
      <w:pPr>
        <w:spacing w:line="360" w:lineRule="auto"/>
        <w:jc w:val="center"/>
        <w:rPr>
          <w:rFonts w:hint="eastAsia" w:ascii="宋体" w:hAnsi="宋体" w:eastAsia="宋体" w:cs="宋体"/>
          <w:b/>
          <w:bCs/>
          <w:sz w:val="36"/>
          <w:szCs w:val="36"/>
          <w:lang w:val="en-US" w:eastAsia="zh-CN"/>
        </w:rPr>
      </w:pPr>
      <w:r>
        <w:rPr>
          <w:rFonts w:hint="eastAsia" w:ascii="黑体" w:hAnsi="黑体" w:eastAsia="黑体" w:cs="黑体"/>
          <w:b w:val="0"/>
          <w:bCs w:val="0"/>
          <w:sz w:val="36"/>
          <w:szCs w:val="36"/>
          <w:lang w:val="en-US" w:eastAsia="zh-CN"/>
        </w:rPr>
        <w:t>《水果分级标准  蜂糖李》编制说明</w:t>
      </w:r>
    </w:p>
    <w:p w14:paraId="45014F55">
      <w:pPr>
        <w:numPr>
          <w:ilvl w:val="0"/>
          <w:numId w:val="0"/>
        </w:num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一、基本情况</w:t>
      </w:r>
    </w:p>
    <w:p w14:paraId="01203778">
      <w:pPr>
        <w:numPr>
          <w:ilvl w:val="0"/>
          <w:numId w:val="0"/>
        </w:numPr>
        <w:spacing w:line="360" w:lineRule="auto"/>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（一）任务来源</w:t>
      </w:r>
    </w:p>
    <w:p w14:paraId="2DD86F5B">
      <w:pPr>
        <w:numPr>
          <w:ilvl w:val="0"/>
          <w:numId w:val="0"/>
        </w:numPr>
        <w:spacing w:line="360" w:lineRule="auto"/>
        <w:ind w:firstLine="640"/>
        <w:rPr>
          <w:rFonts w:hint="default" w:ascii="仿宋_GB2312" w:eastAsia="仿宋_GB2312"/>
          <w:sz w:val="32"/>
          <w:szCs w:val="32"/>
          <w:lang w:val="en-US" w:eastAsia="zh-CN"/>
        </w:rPr>
      </w:pPr>
      <w:r>
        <w:rPr>
          <w:rFonts w:hint="default" w:ascii="仿宋_GB2312" w:eastAsia="仿宋_GB2312"/>
          <w:sz w:val="32"/>
          <w:szCs w:val="32"/>
          <w:lang w:val="en-US" w:eastAsia="zh-CN"/>
        </w:rPr>
        <w:t>为落实农业农村部关于加快水果提档升级的有关部署，加强</w:t>
      </w:r>
      <w:r>
        <w:rPr>
          <w:rFonts w:hint="eastAsia" w:ascii="仿宋_GB2312" w:eastAsia="仿宋_GB2312"/>
          <w:sz w:val="32"/>
          <w:szCs w:val="32"/>
          <w:lang w:val="en-US" w:eastAsia="zh-CN"/>
        </w:rPr>
        <w:t>按照</w:t>
      </w:r>
      <w:r>
        <w:rPr>
          <w:rFonts w:hint="default" w:ascii="仿宋_GB2312" w:eastAsia="仿宋_GB2312"/>
          <w:sz w:val="32"/>
          <w:szCs w:val="32"/>
          <w:lang w:val="en-US" w:eastAsia="zh-CN"/>
        </w:rPr>
        <w:t>深圳市市场监督管理局</w:t>
      </w:r>
      <w:r>
        <w:rPr>
          <w:rFonts w:hint="eastAsia" w:ascii="仿宋_GB2312" w:eastAsia="仿宋_GB2312"/>
          <w:sz w:val="32"/>
          <w:szCs w:val="32"/>
          <w:lang w:val="en-US" w:eastAsia="zh-CN"/>
        </w:rPr>
        <w:t>关于开展《深圳市</w:t>
      </w:r>
      <w:r>
        <w:rPr>
          <w:rFonts w:hint="default" w:ascii="仿宋_GB2312" w:eastAsia="仿宋_GB2312"/>
          <w:sz w:val="32"/>
          <w:szCs w:val="32"/>
          <w:lang w:val="en-US" w:eastAsia="zh-CN"/>
        </w:rPr>
        <w:t>水果“三品一标”建设和质量安全监管</w:t>
      </w:r>
      <w:r>
        <w:rPr>
          <w:rFonts w:hint="eastAsia" w:ascii="仿宋_GB2312" w:eastAsia="仿宋_GB2312"/>
          <w:sz w:val="32"/>
          <w:szCs w:val="32"/>
          <w:lang w:val="en-US" w:eastAsia="zh-CN"/>
        </w:rPr>
        <w:t>水果质量分级试点工作方案》要求，</w:t>
      </w:r>
      <w:r>
        <w:rPr>
          <w:rFonts w:hint="eastAsia" w:ascii="Times New Roman" w:hAnsi="Times New Roman" w:eastAsia="仿宋_GB2312" w:cs="Times New Roman"/>
          <w:sz w:val="32"/>
          <w:szCs w:val="32"/>
          <w:highlight w:val="none"/>
          <w:lang w:eastAsia="zh-CN"/>
        </w:rPr>
        <w:t>成立深圳水果质量分级试点工作专班</w:t>
      </w:r>
      <w:r>
        <w:rPr>
          <w:rFonts w:hint="eastAsia" w:eastAsia="仿宋_GB2312" w:cs="Times New Roman"/>
          <w:sz w:val="32"/>
          <w:szCs w:val="32"/>
          <w:highlight w:val="none"/>
          <w:lang w:eastAsia="zh-CN"/>
        </w:rPr>
        <w:t>，由标准研制组负责制定《水果分级标准</w:t>
      </w:r>
      <w:r>
        <w:rPr>
          <w:rFonts w:hint="eastAsia" w:eastAsia="仿宋_GB2312" w:cs="Times New Roman"/>
          <w:sz w:val="32"/>
          <w:szCs w:val="32"/>
          <w:highlight w:val="none"/>
          <w:lang w:val="en-US" w:eastAsia="zh-CN"/>
        </w:rPr>
        <w:t xml:space="preserve"> 蜂糖李</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w:t>
      </w:r>
    </w:p>
    <w:p w14:paraId="060A2F6B">
      <w:pPr>
        <w:numPr>
          <w:ilvl w:val="0"/>
          <w:numId w:val="1"/>
        </w:numPr>
        <w:spacing w:line="360" w:lineRule="auto"/>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起草单位、起草人</w:t>
      </w:r>
    </w:p>
    <w:p w14:paraId="13AC4407">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起草单位：</w:t>
      </w:r>
    </w:p>
    <w:p w14:paraId="70DD96A0">
      <w:pPr>
        <w:numPr>
          <w:ilvl w:val="0"/>
          <w:numId w:val="0"/>
        </w:numPr>
        <w:tabs>
          <w:tab w:val="left" w:pos="210"/>
        </w:tabs>
        <w:spacing w:line="240" w:lineRule="auto"/>
        <w:ind w:left="0" w:leftChars="0" w:firstLine="640" w:firstLineChars="200"/>
        <w:jc w:val="left"/>
        <w:rPr>
          <w:rFonts w:hint="default" w:ascii="仿宋_GB2312" w:hAnsi="Times New Roman" w:eastAsia="仿宋_GB2312" w:cs="Times New Roman"/>
          <w:kern w:val="2"/>
          <w:sz w:val="32"/>
          <w:szCs w:val="32"/>
          <w:highlight w:val="yellow"/>
          <w:lang w:val="en-US" w:eastAsia="zh-CN" w:bidi="ar-SA"/>
        </w:rPr>
      </w:pPr>
      <w:r>
        <w:rPr>
          <w:rFonts w:hint="eastAsia" w:ascii="仿宋_GB2312" w:eastAsia="仿宋_GB2312" w:cs="Times New Roman"/>
          <w:kern w:val="2"/>
          <w:sz w:val="32"/>
          <w:szCs w:val="32"/>
          <w:lang w:val="en-US" w:eastAsia="zh-CN" w:bidi="ar-SA"/>
        </w:rPr>
        <w:t>主要</w:t>
      </w:r>
      <w:r>
        <w:rPr>
          <w:rFonts w:hint="eastAsia" w:ascii="仿宋_GB2312" w:hAnsi="Times New Roman" w:eastAsia="仿宋_GB2312" w:cs="Times New Roman"/>
          <w:kern w:val="2"/>
          <w:sz w:val="32"/>
          <w:szCs w:val="32"/>
          <w:lang w:val="en-US" w:eastAsia="zh-CN" w:bidi="ar-SA"/>
        </w:rPr>
        <w:t>起草人：</w:t>
      </w:r>
    </w:p>
    <w:p w14:paraId="47FB053A">
      <w:pPr>
        <w:numPr>
          <w:ilvl w:val="0"/>
          <w:numId w:val="1"/>
        </w:numPr>
        <w:spacing w:line="360" w:lineRule="auto"/>
        <w:ind w:left="0" w:leftChars="0" w:firstLine="64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立项背景和意义</w:t>
      </w:r>
    </w:p>
    <w:p w14:paraId="5982E7F3">
      <w:pPr>
        <w:numPr>
          <w:ilvl w:val="0"/>
          <w:numId w:val="0"/>
        </w:numPr>
        <w:spacing w:line="240" w:lineRule="auto"/>
        <w:ind w:left="0" w:leftChars="0"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为适应当前农产品消费结构升级大趋势，加快构建以质量提升为核心的优质水果发展体系，根据《深圳市水果质量分级试点工作方案》要求，研制包括</w:t>
      </w:r>
      <w:r>
        <w:rPr>
          <w:rFonts w:hint="eastAsia" w:ascii="仿宋_GB2312" w:eastAsia="仿宋_GB2312"/>
          <w:sz w:val="32"/>
          <w:szCs w:val="32"/>
          <w:lang w:val="en-US" w:eastAsia="zh-CN"/>
        </w:rPr>
        <w:t>蜂糖李</w:t>
      </w:r>
      <w:r>
        <w:rPr>
          <w:rFonts w:hint="default" w:ascii="仿宋_GB2312" w:eastAsia="仿宋_GB2312"/>
          <w:sz w:val="32"/>
          <w:szCs w:val="32"/>
          <w:lang w:val="en-US" w:eastAsia="zh-CN"/>
        </w:rPr>
        <w:t>在内的水果质量分级标准。在深圳市农产品质量提升联盟内应用，并逐步向社会推广，推动水果产业提档升级。</w:t>
      </w:r>
    </w:p>
    <w:p w14:paraId="2B6E2C33">
      <w:pPr>
        <w:numPr>
          <w:ilvl w:val="0"/>
          <w:numId w:val="0"/>
        </w:numPr>
        <w:spacing w:line="360" w:lineRule="auto"/>
        <w:ind w:left="640" w:leftChars="0"/>
        <w:rPr>
          <w:rFonts w:hint="default" w:ascii="仿宋_GB2312" w:eastAsia="仿宋_GB2312"/>
          <w:sz w:val="32"/>
          <w:szCs w:val="32"/>
          <w:lang w:val="en-US" w:eastAsia="zh-CN"/>
        </w:rPr>
      </w:pPr>
      <w:r>
        <w:rPr>
          <w:rFonts w:hint="eastAsia" w:ascii="仿宋_GB2312" w:eastAsia="仿宋_GB2312"/>
          <w:sz w:val="32"/>
          <w:szCs w:val="32"/>
          <w:lang w:val="en-US" w:eastAsia="zh-CN"/>
        </w:rPr>
        <w:t>（四）简要起草过程</w:t>
      </w:r>
    </w:p>
    <w:p w14:paraId="5C848458">
      <w:pPr>
        <w:spacing w:line="240" w:lineRule="auto"/>
        <w:ind w:left="0" w:leftChars="0" w:firstLine="640" w:firstLineChars="200"/>
        <w:jc w:val="both"/>
        <w:rPr>
          <w:rFonts w:hint="eastAsia" w:ascii="仿宋_GB2312" w:eastAsia="仿宋_GB2312"/>
          <w:sz w:val="32"/>
          <w:szCs w:val="32"/>
        </w:rPr>
      </w:pPr>
      <w:r>
        <w:rPr>
          <w:rFonts w:hint="eastAsia" w:ascii="仿宋_GB2312" w:eastAsia="仿宋_GB2312"/>
          <w:sz w:val="32"/>
          <w:szCs w:val="32"/>
        </w:rPr>
        <w:t>接到项目委托任务后，我单位即成立了标准起草工作组，根据《</w:t>
      </w:r>
      <w:r>
        <w:rPr>
          <w:rFonts w:hint="eastAsia" w:ascii="仿宋_GB2312" w:eastAsia="仿宋_GB2312"/>
          <w:sz w:val="32"/>
          <w:szCs w:val="32"/>
          <w:lang w:val="en-US" w:eastAsia="zh-CN"/>
        </w:rPr>
        <w:t>深圳市水果质量分级试点工作方案</w:t>
      </w:r>
      <w:r>
        <w:rPr>
          <w:rFonts w:hint="eastAsia" w:ascii="仿宋_GB2312" w:eastAsia="仿宋_GB2312"/>
          <w:sz w:val="32"/>
          <w:szCs w:val="32"/>
        </w:rPr>
        <w:t>》等相关要求，制定了起草工作方案，并进行了分工落实，主要过程如下:</w:t>
      </w:r>
    </w:p>
    <w:p w14:paraId="6F6D843E">
      <w:pPr>
        <w:spacing w:line="240" w:lineRule="auto"/>
        <w:ind w:left="0" w:leftChars="0" w:firstLine="640" w:firstLineChars="200"/>
        <w:jc w:val="both"/>
        <w:rPr>
          <w:rFonts w:hint="eastAsia" w:ascii="仿宋_GB2312" w:eastAsia="仿宋_GB2312"/>
          <w:sz w:val="32"/>
          <w:szCs w:val="32"/>
          <w:lang w:eastAsia="zh-CN"/>
        </w:rPr>
      </w:pPr>
      <w:r>
        <w:rPr>
          <w:rFonts w:hint="eastAsia" w:ascii="仿宋_GB2312" w:eastAsia="仿宋_GB2312"/>
          <w:sz w:val="32"/>
          <w:szCs w:val="32"/>
          <w:lang w:val="en-US" w:eastAsia="zh-CN"/>
        </w:rPr>
        <w:t>2025年3月至4月</w:t>
      </w:r>
      <w:r>
        <w:rPr>
          <w:rFonts w:hint="eastAsia" w:ascii="仿宋_GB2312" w:eastAsia="仿宋_GB2312"/>
          <w:sz w:val="32"/>
          <w:szCs w:val="32"/>
        </w:rPr>
        <w:t>:</w:t>
      </w:r>
      <w:r>
        <w:rPr>
          <w:rFonts w:hint="eastAsia" w:ascii="仿宋_GB2312" w:eastAsia="仿宋_GB2312"/>
          <w:sz w:val="32"/>
          <w:szCs w:val="32"/>
          <w:lang w:eastAsia="zh-CN"/>
        </w:rPr>
        <w:t>对</w:t>
      </w:r>
      <w:r>
        <w:rPr>
          <w:rFonts w:hint="eastAsia" w:ascii="仿宋_GB2312" w:eastAsia="仿宋_GB2312"/>
          <w:sz w:val="32"/>
          <w:szCs w:val="32"/>
        </w:rPr>
        <w:t>国内外相关标准、论文等信息资料</w:t>
      </w:r>
      <w:r>
        <w:rPr>
          <w:rFonts w:hint="eastAsia" w:ascii="仿宋_GB2312" w:eastAsia="仿宋_GB2312"/>
          <w:sz w:val="32"/>
          <w:szCs w:val="32"/>
          <w:lang w:eastAsia="zh-CN"/>
        </w:rPr>
        <w:t>进行调研</w:t>
      </w:r>
      <w:r>
        <w:rPr>
          <w:rFonts w:hint="eastAsia" w:ascii="仿宋_GB2312" w:eastAsia="仿宋_GB2312"/>
          <w:sz w:val="32"/>
          <w:szCs w:val="32"/>
        </w:rPr>
        <w:t>，了解国内外</w:t>
      </w:r>
      <w:r>
        <w:rPr>
          <w:rFonts w:hint="eastAsia" w:ascii="仿宋_GB2312" w:eastAsia="仿宋_GB2312"/>
          <w:sz w:val="32"/>
          <w:szCs w:val="32"/>
          <w:lang w:eastAsia="zh-CN"/>
        </w:rPr>
        <w:t>蜂糖李</w:t>
      </w:r>
      <w:r>
        <w:rPr>
          <w:rFonts w:hint="eastAsia" w:ascii="仿宋_GB2312" w:eastAsia="仿宋_GB2312"/>
          <w:sz w:val="32"/>
          <w:szCs w:val="32"/>
        </w:rPr>
        <w:t>标准及相关研究现状</w:t>
      </w:r>
      <w:r>
        <w:rPr>
          <w:rFonts w:hint="eastAsia" w:ascii="仿宋_GB2312" w:eastAsia="仿宋_GB2312"/>
          <w:sz w:val="32"/>
          <w:szCs w:val="32"/>
          <w:lang w:eastAsia="zh-CN"/>
        </w:rPr>
        <w:t>；同时通过咨询、调研等形式了解镇宁蜂糖李的相关生产经营情况。</w:t>
      </w:r>
    </w:p>
    <w:p w14:paraId="2AEFFF98">
      <w:pPr>
        <w:spacing w:line="240" w:lineRule="auto"/>
        <w:ind w:left="0" w:leftChars="0"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2025年4月至5月</w:t>
      </w:r>
      <w:r>
        <w:rPr>
          <w:rFonts w:hint="eastAsia" w:ascii="仿宋_GB2312" w:eastAsia="仿宋_GB2312"/>
          <w:sz w:val="32"/>
          <w:szCs w:val="32"/>
        </w:rPr>
        <w:t>:</w:t>
      </w:r>
      <w:r>
        <w:rPr>
          <w:rFonts w:hint="eastAsia" w:ascii="仿宋_GB2312" w:eastAsia="仿宋_GB2312"/>
          <w:sz w:val="32"/>
          <w:szCs w:val="32"/>
          <w:lang w:eastAsia="zh-CN"/>
        </w:rPr>
        <w:t>基于调研结果，通过数据收集、标准比对等确定主要技术指标和阈值范围，完成标准编制说明及编制征求意见稿</w:t>
      </w:r>
      <w:r>
        <w:rPr>
          <w:rFonts w:hint="eastAsia" w:ascii="仿宋_GB2312" w:eastAsia="仿宋_GB2312"/>
          <w:sz w:val="32"/>
          <w:szCs w:val="32"/>
        </w:rPr>
        <w:t>。</w:t>
      </w:r>
    </w:p>
    <w:p w14:paraId="11C47EE8">
      <w:pPr>
        <w:spacing w:line="240" w:lineRule="auto"/>
        <w:ind w:left="0" w:leftChars="0"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2025年5月至6月</w:t>
      </w:r>
      <w:r>
        <w:rPr>
          <w:rFonts w:hint="eastAsia" w:ascii="仿宋_GB2312" w:eastAsia="仿宋_GB2312"/>
          <w:sz w:val="32"/>
          <w:szCs w:val="32"/>
        </w:rPr>
        <w:t>:</w:t>
      </w:r>
      <w:r>
        <w:rPr>
          <w:rFonts w:hint="eastAsia" w:ascii="仿宋_GB2312" w:eastAsia="仿宋_GB2312"/>
          <w:sz w:val="32"/>
          <w:szCs w:val="32"/>
          <w:lang w:eastAsia="zh-CN"/>
        </w:rPr>
        <w:t>对标准进行立项并公开征求意见，</w:t>
      </w:r>
      <w:r>
        <w:rPr>
          <w:rFonts w:hint="eastAsia" w:ascii="仿宋_GB2312" w:eastAsia="仿宋_GB2312"/>
          <w:sz w:val="32"/>
          <w:szCs w:val="32"/>
        </w:rPr>
        <w:t>根据</w:t>
      </w:r>
      <w:r>
        <w:rPr>
          <w:rFonts w:hint="eastAsia" w:ascii="仿宋_GB2312" w:eastAsia="仿宋_GB2312"/>
          <w:sz w:val="32"/>
          <w:szCs w:val="32"/>
          <w:lang w:eastAsia="zh-CN"/>
        </w:rPr>
        <w:t>反馈</w:t>
      </w:r>
      <w:r>
        <w:rPr>
          <w:rFonts w:hint="eastAsia" w:ascii="仿宋_GB2312" w:eastAsia="仿宋_GB2312"/>
          <w:sz w:val="32"/>
          <w:szCs w:val="32"/>
        </w:rPr>
        <w:t>意见进行汇总修改，形成标准送审稿</w:t>
      </w:r>
      <w:r>
        <w:rPr>
          <w:rFonts w:hint="eastAsia" w:ascii="仿宋_GB2312" w:eastAsia="仿宋_GB2312"/>
          <w:sz w:val="32"/>
          <w:szCs w:val="32"/>
          <w:lang w:eastAsia="zh-CN"/>
        </w:rPr>
        <w:t>供</w:t>
      </w:r>
      <w:r>
        <w:rPr>
          <w:rFonts w:hint="eastAsia" w:ascii="仿宋_GB2312" w:eastAsia="仿宋_GB2312"/>
          <w:sz w:val="32"/>
          <w:szCs w:val="32"/>
        </w:rPr>
        <w:t>专家评审</w:t>
      </w:r>
      <w:r>
        <w:rPr>
          <w:rFonts w:hint="eastAsia" w:ascii="仿宋_GB2312" w:eastAsia="仿宋_GB2312"/>
          <w:sz w:val="32"/>
          <w:szCs w:val="32"/>
          <w:lang w:eastAsia="zh-CN"/>
        </w:rPr>
        <w:t>，</w:t>
      </w:r>
      <w:r>
        <w:rPr>
          <w:rFonts w:hint="eastAsia" w:ascii="仿宋_GB2312" w:eastAsia="仿宋_GB2312"/>
          <w:sz w:val="32"/>
          <w:szCs w:val="32"/>
        </w:rPr>
        <w:t>根据评审意见完善标准，形成标准报批稿报送相关单位报批。</w:t>
      </w:r>
    </w:p>
    <w:p w14:paraId="017C4A77">
      <w:pPr>
        <w:numPr>
          <w:ilvl w:val="0"/>
          <w:numId w:val="2"/>
        </w:num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与现行有关法律法规和其他标准的关系</w:t>
      </w:r>
    </w:p>
    <w:p w14:paraId="32F3A293">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（一）与现行法律、法规的关系</w:t>
      </w:r>
    </w:p>
    <w:p w14:paraId="2FB1DEEB">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本标准是以我国相关法律、法规和标准为基础，依据《中华人民共和国农产品质量安全法》、《中华人民共和国食品安全法》，</w:t>
      </w:r>
      <w:r>
        <w:rPr>
          <w:rFonts w:hint="eastAsia" w:ascii="仿宋_GB2312" w:eastAsia="仿宋_GB2312"/>
          <w:sz w:val="32"/>
          <w:szCs w:val="32"/>
          <w:lang w:val="en-US" w:eastAsia="zh-CN"/>
        </w:rPr>
        <w:t>结合</w:t>
      </w:r>
      <w:r>
        <w:rPr>
          <w:rFonts w:hint="eastAsia" w:ascii="仿宋_GB2312" w:eastAsia="仿宋_GB2312"/>
          <w:sz w:val="32"/>
          <w:szCs w:val="32"/>
          <w:lang w:eastAsia="zh-CN"/>
        </w:rPr>
        <w:t>“深圳企业+市外</w:t>
      </w:r>
      <w:r>
        <w:rPr>
          <w:rFonts w:hint="eastAsia" w:ascii="仿宋_GB2312" w:eastAsia="仿宋_GB2312"/>
          <w:sz w:val="32"/>
          <w:szCs w:val="32"/>
          <w:lang w:val="en-US" w:eastAsia="zh-CN"/>
        </w:rPr>
        <w:t>种植</w:t>
      </w:r>
      <w:r>
        <w:rPr>
          <w:rFonts w:hint="eastAsia" w:ascii="仿宋_GB2312" w:eastAsia="仿宋_GB2312"/>
          <w:sz w:val="32"/>
          <w:szCs w:val="32"/>
          <w:lang w:eastAsia="zh-CN"/>
        </w:rPr>
        <w:t>”</w:t>
      </w:r>
      <w:r>
        <w:rPr>
          <w:rFonts w:hint="eastAsia" w:ascii="仿宋_GB2312" w:eastAsia="仿宋_GB2312"/>
          <w:sz w:val="32"/>
          <w:szCs w:val="32"/>
          <w:lang w:val="en-US" w:eastAsia="zh-CN"/>
        </w:rPr>
        <w:t>发展模式</w:t>
      </w:r>
      <w:r>
        <w:rPr>
          <w:rFonts w:hint="eastAsia" w:ascii="仿宋_GB2312" w:eastAsia="仿宋_GB2312"/>
          <w:sz w:val="32"/>
          <w:szCs w:val="32"/>
          <w:lang w:eastAsia="zh-CN"/>
        </w:rPr>
        <w:t>和国内</w:t>
      </w:r>
      <w:r>
        <w:rPr>
          <w:rFonts w:hint="eastAsia" w:eastAsia="仿宋_GB2312" w:cs="Times New Roman"/>
          <w:sz w:val="32"/>
          <w:szCs w:val="32"/>
          <w:highlight w:val="none"/>
          <w:lang w:val="en-US" w:eastAsia="zh-CN"/>
        </w:rPr>
        <w:t>蜂糖李</w:t>
      </w:r>
      <w:r>
        <w:rPr>
          <w:rFonts w:hint="eastAsia" w:ascii="仿宋_GB2312" w:eastAsia="仿宋_GB2312"/>
          <w:sz w:val="32"/>
          <w:szCs w:val="32"/>
          <w:lang w:eastAsia="zh-CN"/>
        </w:rPr>
        <w:t>行业发展需要制定出来的推荐性标准，是为适应新形势下国家对水果产业高质量发展需要而提出与制定的，与现行法律法规无冲突。</w:t>
      </w:r>
    </w:p>
    <w:p w14:paraId="29C19FD3">
      <w:pPr>
        <w:pStyle w:val="5"/>
        <w:numPr>
          <w:ilvl w:val="0"/>
          <w:numId w:val="3"/>
        </w:numPr>
        <w:ind w:left="0"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食品安全国家标准、国家标准、行业标准等现行标准的关系</w:t>
      </w:r>
    </w:p>
    <w:p w14:paraId="4B2332F5">
      <w:pPr>
        <w:pStyle w:val="5"/>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宋体"/>
          <w:sz w:val="32"/>
          <w:szCs w:val="32"/>
          <w:lang w:val="en-US" w:eastAsia="zh-CN"/>
        </w:rPr>
      </w:pPr>
      <w:r>
        <w:rPr>
          <w:rFonts w:hint="eastAsia" w:ascii="仿宋_GB2312" w:eastAsia="仿宋_GB2312"/>
          <w:sz w:val="32"/>
          <w:szCs w:val="32"/>
          <w:lang w:val="en-US" w:eastAsia="zh-CN"/>
        </w:rPr>
        <w:t>通过对比GB/T 26901-2020《李贮藏技术规程》、GH/T 1358-2021《李等级规格》、NY/T 839-2004《鲜李》、DB 5204/T2-2019《地理标志产品镇宁蜂糖李》等国内鲜李现行有效的国家标准、行业标准、地方标准，本标准与目前涉及鲜李相关国家标准、</w:t>
      </w:r>
      <w:r>
        <w:rPr>
          <w:rFonts w:hint="eastAsia" w:ascii="仿宋_GB2312" w:eastAsia="仿宋_GB2312"/>
          <w:sz w:val="32"/>
          <w:szCs w:val="32"/>
          <w:lang w:eastAsia="zh-CN"/>
        </w:rPr>
        <w:t>行业标准、地方标准等</w:t>
      </w:r>
      <w:r>
        <w:rPr>
          <w:rFonts w:hint="eastAsia" w:ascii="仿宋_GB2312" w:eastAsia="仿宋_GB2312"/>
          <w:sz w:val="32"/>
          <w:szCs w:val="32"/>
          <w:lang w:val="en-US" w:eastAsia="zh-CN"/>
        </w:rPr>
        <w:t>无冲突。</w:t>
      </w:r>
    </w:p>
    <w:p w14:paraId="4412C44D">
      <w:pPr>
        <w:pStyle w:val="5"/>
        <w:numPr>
          <w:ilvl w:val="0"/>
          <w:numId w:val="3"/>
        </w:numPr>
        <w:ind w:left="0" w:leftChars="0"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与国外标准的关系</w:t>
      </w:r>
    </w:p>
    <w:p w14:paraId="742E808C">
      <w:pPr>
        <w:pStyle w:val="5"/>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eastAsia="仿宋_GB2312"/>
          <w:sz w:val="32"/>
          <w:szCs w:val="32"/>
          <w:lang w:eastAsia="zh-CN"/>
        </w:rPr>
      </w:pPr>
      <w:r>
        <w:rPr>
          <w:rFonts w:hint="eastAsia" w:ascii="仿宋_GB2312" w:eastAsia="仿宋_GB2312"/>
          <w:sz w:val="32"/>
          <w:szCs w:val="32"/>
          <w:lang w:eastAsia="zh-CN"/>
        </w:rPr>
        <w:t>通过对比经济合作与发展组织(OECD): Plums 《李子》、联合国欧洲经济委员会（UN/ECE）：FFV-29 Plums 《李子》、美国：United States Standards for Grades of Fresh Plums </w:t>
      </w:r>
    </w:p>
    <w:p w14:paraId="7CAB1D96">
      <w:pPr>
        <w:pStyle w:val="5"/>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eastAsia="zh-CN"/>
        </w:rPr>
      </w:pPr>
      <w:r>
        <w:rPr>
          <w:rFonts w:hint="eastAsia" w:ascii="仿宋_GB2312" w:eastAsia="仿宋_GB2312"/>
          <w:sz w:val="32"/>
          <w:szCs w:val="32"/>
          <w:lang w:eastAsia="zh-CN"/>
        </w:rPr>
        <w:t>and Prunes《新鲜李子和西梅的等级标准》等国外标准，本标准与国外标准无冲突。</w:t>
      </w:r>
    </w:p>
    <w:p w14:paraId="06094DFB">
      <w:pPr>
        <w:numPr>
          <w:ilvl w:val="0"/>
          <w:numId w:val="2"/>
        </w:num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主要技术内容确定依据</w:t>
      </w:r>
    </w:p>
    <w:p w14:paraId="23D08B40">
      <w:pPr>
        <w:numPr>
          <w:ilvl w:val="0"/>
          <w:numId w:val="4"/>
        </w:numPr>
        <w:spacing w:line="360" w:lineRule="auto"/>
        <w:ind w:left="64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标准编制原则</w:t>
      </w:r>
    </w:p>
    <w:p w14:paraId="2FAD3719">
      <w:pPr>
        <w:numPr>
          <w:ilvl w:val="0"/>
          <w:numId w:val="0"/>
        </w:numPr>
        <w:spacing w:line="240" w:lineRule="auto"/>
        <w:ind w:left="0" w:leftChars="0"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本标准的编制遵循科学性、规范性、适用性和可操作性原则，标准按GB/T 1. 1《标准化工作导则第1部分:标准的结构和编写》给出的规则进行起草。</w:t>
      </w:r>
    </w:p>
    <w:p w14:paraId="52AC5A9D">
      <w:pPr>
        <w:numPr>
          <w:ilvl w:val="0"/>
          <w:numId w:val="0"/>
        </w:numPr>
        <w:spacing w:line="240" w:lineRule="auto"/>
        <w:ind w:left="0" w:leftChars="0"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标准内容制定遵循以下原则:</w:t>
      </w:r>
      <w:r>
        <w:rPr>
          <w:rFonts w:hint="eastAsia" w:ascii="仿宋_GB2312" w:eastAsia="仿宋_GB2312"/>
          <w:sz w:val="32"/>
          <w:szCs w:val="32"/>
          <w:lang w:val="en-US" w:eastAsia="zh-CN"/>
        </w:rPr>
        <w:t>追溯要求</w:t>
      </w:r>
      <w:r>
        <w:rPr>
          <w:rFonts w:hint="default" w:ascii="仿宋_GB2312" w:eastAsia="仿宋_GB2312"/>
          <w:sz w:val="32"/>
          <w:szCs w:val="32"/>
          <w:lang w:val="en-US" w:eastAsia="zh-CN"/>
        </w:rPr>
        <w:t>、</w:t>
      </w:r>
      <w:r>
        <w:rPr>
          <w:rFonts w:hint="eastAsia" w:ascii="仿宋_GB2312" w:eastAsia="仿宋_GB2312"/>
          <w:sz w:val="32"/>
          <w:szCs w:val="32"/>
          <w:lang w:val="en-US" w:eastAsia="zh-CN"/>
        </w:rPr>
        <w:t>安全要求</w:t>
      </w:r>
      <w:r>
        <w:rPr>
          <w:rFonts w:hint="default" w:ascii="仿宋_GB2312" w:eastAsia="仿宋_GB2312"/>
          <w:sz w:val="32"/>
          <w:szCs w:val="32"/>
          <w:lang w:val="en-US" w:eastAsia="zh-CN"/>
        </w:rPr>
        <w:t>、</w:t>
      </w:r>
      <w:r>
        <w:rPr>
          <w:rFonts w:hint="eastAsia" w:ascii="仿宋_GB2312" w:eastAsia="仿宋_GB2312"/>
          <w:sz w:val="32"/>
          <w:szCs w:val="32"/>
          <w:lang w:val="en-US" w:eastAsia="zh-CN"/>
        </w:rPr>
        <w:t>外观要求</w:t>
      </w:r>
      <w:r>
        <w:rPr>
          <w:rFonts w:hint="default" w:ascii="仿宋_GB2312" w:eastAsia="仿宋_GB2312"/>
          <w:sz w:val="32"/>
          <w:szCs w:val="32"/>
          <w:lang w:val="en-US" w:eastAsia="zh-CN"/>
        </w:rPr>
        <w:t>等指标在符合</w:t>
      </w:r>
      <w:r>
        <w:rPr>
          <w:rFonts w:hint="eastAsia" w:ascii="仿宋_GB2312" w:eastAsia="仿宋_GB2312"/>
          <w:sz w:val="32"/>
          <w:szCs w:val="32"/>
          <w:lang w:eastAsia="zh-CN"/>
        </w:rPr>
        <w:t>《中华人民共和国农产品质量安全法》、</w:t>
      </w:r>
      <w:r>
        <w:rPr>
          <w:rFonts w:hint="default" w:ascii="仿宋_GB2312" w:eastAsia="仿宋_GB2312"/>
          <w:sz w:val="32"/>
          <w:szCs w:val="32"/>
          <w:lang w:val="en-US" w:eastAsia="zh-CN"/>
        </w:rPr>
        <w:t>食品安全国家标准前提下，结合</w:t>
      </w:r>
      <w:r>
        <w:rPr>
          <w:rFonts w:hint="eastAsia" w:ascii="仿宋_GB2312" w:eastAsia="仿宋_GB2312"/>
          <w:sz w:val="32"/>
          <w:szCs w:val="32"/>
          <w:lang w:val="en-US" w:eastAsia="zh-CN"/>
        </w:rPr>
        <w:t>深圳市</w:t>
      </w:r>
      <w:r>
        <w:rPr>
          <w:rFonts w:hint="default" w:ascii="仿宋_GB2312" w:eastAsia="仿宋_GB2312"/>
          <w:sz w:val="32"/>
          <w:szCs w:val="32"/>
          <w:lang w:val="en-US" w:eastAsia="zh-CN"/>
        </w:rPr>
        <w:t>实际需求、比较分析国家标准、行业标准、地方标准，在保证技术指标科学性的前提下，选用更严格的指标</w:t>
      </w:r>
      <w:r>
        <w:rPr>
          <w:rFonts w:hint="eastAsia" w:ascii="仿宋_GB2312" w:eastAsia="仿宋_GB2312"/>
          <w:sz w:val="32"/>
          <w:szCs w:val="32"/>
          <w:lang w:val="en-US" w:eastAsia="zh-CN"/>
        </w:rPr>
        <w:t>；</w:t>
      </w:r>
      <w:r>
        <w:rPr>
          <w:rFonts w:hint="default" w:ascii="仿宋_GB2312" w:eastAsia="仿宋_GB2312"/>
          <w:sz w:val="32"/>
          <w:szCs w:val="32"/>
          <w:lang w:val="en-US" w:eastAsia="zh-CN"/>
        </w:rPr>
        <w:t>遵循“科学、严谨、高品质”原则下，重点突出</w:t>
      </w:r>
      <w:r>
        <w:rPr>
          <w:rFonts w:hint="eastAsia" w:ascii="仿宋_GB2312" w:eastAsia="仿宋_GB2312"/>
          <w:sz w:val="32"/>
          <w:szCs w:val="32"/>
          <w:lang w:val="en-US" w:eastAsia="zh-CN"/>
        </w:rPr>
        <w:t>品质</w:t>
      </w:r>
      <w:r>
        <w:rPr>
          <w:rFonts w:hint="default" w:ascii="仿宋_GB2312" w:eastAsia="仿宋_GB2312"/>
          <w:sz w:val="32"/>
          <w:szCs w:val="32"/>
          <w:lang w:val="en-US" w:eastAsia="zh-CN"/>
        </w:rPr>
        <w:t>指标，形成</w:t>
      </w:r>
      <w:r>
        <w:rPr>
          <w:rFonts w:hint="eastAsia" w:ascii="仿宋_GB2312" w:eastAsia="仿宋_GB2312"/>
          <w:sz w:val="32"/>
          <w:szCs w:val="32"/>
          <w:lang w:val="en-US" w:eastAsia="zh-CN"/>
        </w:rPr>
        <w:t>在</w:t>
      </w:r>
      <w:r>
        <w:rPr>
          <w:rFonts w:hint="default" w:ascii="仿宋_GB2312" w:eastAsia="仿宋_GB2312"/>
          <w:sz w:val="32"/>
          <w:szCs w:val="32"/>
          <w:lang w:val="en-US" w:eastAsia="zh-CN"/>
        </w:rPr>
        <w:t>国家</w:t>
      </w:r>
      <w:r>
        <w:rPr>
          <w:rFonts w:hint="eastAsia" w:ascii="仿宋_GB2312" w:eastAsia="仿宋_GB2312"/>
          <w:sz w:val="32"/>
          <w:szCs w:val="32"/>
          <w:lang w:val="en-US" w:eastAsia="zh-CN"/>
        </w:rPr>
        <w:t>法律法规、</w:t>
      </w:r>
      <w:r>
        <w:rPr>
          <w:rFonts w:hint="default" w:ascii="仿宋_GB2312" w:eastAsia="仿宋_GB2312"/>
          <w:sz w:val="32"/>
          <w:szCs w:val="32"/>
          <w:lang w:val="en-US" w:eastAsia="zh-CN"/>
        </w:rPr>
        <w:t>安全标准</w:t>
      </w:r>
      <w:r>
        <w:rPr>
          <w:rFonts w:hint="eastAsia" w:ascii="仿宋_GB2312" w:eastAsia="仿宋_GB2312"/>
          <w:sz w:val="32"/>
          <w:szCs w:val="32"/>
          <w:lang w:val="en-US" w:eastAsia="zh-CN"/>
        </w:rPr>
        <w:t>的基础上，</w:t>
      </w:r>
      <w:r>
        <w:rPr>
          <w:rFonts w:hint="default" w:ascii="仿宋_GB2312" w:eastAsia="仿宋_GB2312"/>
          <w:sz w:val="32"/>
          <w:szCs w:val="32"/>
          <w:lang w:val="en-US" w:eastAsia="zh-CN"/>
        </w:rPr>
        <w:t>满足</w:t>
      </w:r>
      <w:r>
        <w:rPr>
          <w:rFonts w:hint="eastAsia" w:ascii="仿宋_GB2312" w:eastAsia="仿宋_GB2312"/>
          <w:sz w:val="32"/>
          <w:szCs w:val="32"/>
          <w:lang w:val="en-US" w:eastAsia="zh-CN"/>
        </w:rPr>
        <w:t>深圳市场</w:t>
      </w:r>
      <w:r>
        <w:rPr>
          <w:rFonts w:hint="default" w:ascii="仿宋_GB2312" w:eastAsia="仿宋_GB2312"/>
          <w:sz w:val="32"/>
          <w:szCs w:val="32"/>
          <w:lang w:val="en-US" w:eastAsia="zh-CN"/>
        </w:rPr>
        <w:t>更高要求的</w:t>
      </w:r>
      <w:r>
        <w:rPr>
          <w:rFonts w:hint="eastAsia" w:ascii="仿宋_GB2312" w:eastAsia="仿宋_GB2312"/>
          <w:sz w:val="32"/>
          <w:szCs w:val="32"/>
          <w:lang w:val="en-US" w:eastAsia="zh-CN"/>
        </w:rPr>
        <w:t>蜂糖李分级</w:t>
      </w:r>
      <w:r>
        <w:rPr>
          <w:rFonts w:hint="default" w:ascii="仿宋_GB2312" w:eastAsia="仿宋_GB2312"/>
          <w:sz w:val="32"/>
          <w:szCs w:val="32"/>
          <w:lang w:val="en-US" w:eastAsia="zh-CN"/>
        </w:rPr>
        <w:t>标准。</w:t>
      </w:r>
    </w:p>
    <w:p w14:paraId="413DE9FE">
      <w:pPr>
        <w:numPr>
          <w:ilvl w:val="0"/>
          <w:numId w:val="4"/>
        </w:numPr>
        <w:spacing w:line="360" w:lineRule="auto"/>
        <w:ind w:left="640" w:leftChars="0" w:firstLine="0" w:firstLineChars="0"/>
        <w:rPr>
          <w:rFonts w:hint="eastAsia" w:ascii="仿宋_GB2312" w:hAnsi="Times New Roman" w:eastAsia="仿宋_GB2312" w:cs="Times New Roman"/>
          <w:kern w:val="2"/>
          <w:sz w:val="32"/>
          <w:szCs w:val="32"/>
          <w:lang w:val="en-US" w:eastAsia="zh-CN" w:bidi="ar-SA"/>
        </w:rPr>
      </w:pPr>
      <w:r>
        <w:rPr>
          <w:rFonts w:hint="eastAsia" w:ascii="仿宋_GB2312" w:eastAsia="仿宋_GB2312"/>
          <w:sz w:val="32"/>
          <w:szCs w:val="32"/>
          <w:lang w:eastAsia="zh-CN"/>
        </w:rPr>
        <w:t>主要技术内容确定的依据</w:t>
      </w:r>
    </w:p>
    <w:p w14:paraId="6184ECAF">
      <w:pPr>
        <w:pStyle w:val="5"/>
        <w:numPr>
          <w:ilvl w:val="0"/>
          <w:numId w:val="0"/>
        </w:numPr>
        <w:ind w:leftChars="400"/>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1.技术要求</w:t>
      </w:r>
    </w:p>
    <w:p w14:paraId="01611227">
      <w:pPr>
        <w:pStyle w:val="5"/>
        <w:numPr>
          <w:ilvl w:val="0"/>
          <w:numId w:val="0"/>
        </w:numPr>
        <w:spacing w:after="0"/>
        <w:ind w:left="0" w:leftChars="0"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对追溯要求、安全要求、外观要求、品质等级要求作出了规定</w:t>
      </w:r>
      <w:r>
        <w:rPr>
          <w:rFonts w:hint="eastAsia" w:ascii="仿宋_GB2312" w:hAnsi="Times New Roman" w:eastAsia="仿宋_GB2312" w:cs="Times New Roman"/>
          <w:kern w:val="2"/>
          <w:sz w:val="32"/>
          <w:szCs w:val="32"/>
          <w:lang w:val="en-US" w:eastAsia="zh-CN" w:bidi="ar-SA"/>
        </w:rPr>
        <w:t>。</w:t>
      </w:r>
    </w:p>
    <w:p w14:paraId="073F015B">
      <w:pPr>
        <w:pStyle w:val="5"/>
        <w:numPr>
          <w:ilvl w:val="0"/>
          <w:numId w:val="5"/>
        </w:numPr>
        <w:spacing w:after="0"/>
        <w:ind w:left="0" w:leftChars="0" w:firstLine="640" w:firstLineChars="200"/>
        <w:rPr>
          <w:rFonts w:hint="eastAsia" w:ascii="仿宋_GB2312" w:eastAsia="仿宋_GB2312"/>
          <w:sz w:val="32"/>
          <w:szCs w:val="32"/>
          <w:lang w:eastAsia="zh-CN"/>
        </w:rPr>
      </w:pPr>
      <w:r>
        <w:rPr>
          <w:rFonts w:hint="eastAsia" w:ascii="仿宋_GB2312" w:eastAsia="仿宋_GB2312" w:cs="Times New Roman"/>
          <w:kern w:val="2"/>
          <w:sz w:val="32"/>
          <w:szCs w:val="32"/>
          <w:lang w:val="en-US" w:eastAsia="zh-CN" w:bidi="ar-SA"/>
        </w:rPr>
        <w:t>追溯要求：按照</w:t>
      </w:r>
      <w:r>
        <w:rPr>
          <w:rFonts w:hint="eastAsia" w:ascii="仿宋_GB2312" w:eastAsia="仿宋_GB2312"/>
          <w:sz w:val="32"/>
          <w:szCs w:val="32"/>
          <w:lang w:eastAsia="zh-CN"/>
        </w:rPr>
        <w:t>《中华人民共和国农产品质量安全法》等法律法规设置农产品承诺达标合格证及追溯相关要求。</w:t>
      </w:r>
    </w:p>
    <w:p w14:paraId="31076601">
      <w:pPr>
        <w:pStyle w:val="5"/>
        <w:numPr>
          <w:ilvl w:val="0"/>
          <w:numId w:val="5"/>
        </w:numPr>
        <w:spacing w:after="0"/>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安全要求：按照GB 2762《食品安全国家标准食品中污染物限量》、GB 2763《食品安全国家标准食品中农药最大残留限量》设置污染物和农药残留等安全指标限值要求。</w:t>
      </w:r>
    </w:p>
    <w:p w14:paraId="0F3C5DD0">
      <w:pPr>
        <w:pStyle w:val="5"/>
        <w:numPr>
          <w:ilvl w:val="0"/>
          <w:numId w:val="5"/>
        </w:numPr>
        <w:spacing w:after="0"/>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外观要求：参照GH/T 1358-2021《李等级规格》、NY/T 839-2004《鲜李》、DB 5204/T2-2019《地理标志产品镇宁蜂糖李》等标准要</w:t>
      </w:r>
      <w:r>
        <w:rPr>
          <w:rFonts w:hint="eastAsia" w:ascii="仿宋_GB2312" w:eastAsia="仿宋_GB2312"/>
          <w:sz w:val="32"/>
          <w:szCs w:val="32"/>
          <w:highlight w:val="none"/>
          <w:lang w:val="en-US" w:eastAsia="zh-CN"/>
        </w:rPr>
        <w:t>求设置果实形态特征、缺陷果、果径作为外观指标限值要求</w:t>
      </w:r>
      <w:r>
        <w:rPr>
          <w:rFonts w:hint="eastAsia" w:ascii="仿宋_GB2312" w:eastAsia="仿宋_GB2312"/>
          <w:sz w:val="32"/>
          <w:szCs w:val="32"/>
          <w:lang w:val="en-US" w:eastAsia="zh-CN"/>
        </w:rPr>
        <w:t>。</w:t>
      </w:r>
    </w:p>
    <w:p w14:paraId="4746BE5E">
      <w:pPr>
        <w:pStyle w:val="5"/>
        <w:numPr>
          <w:ilvl w:val="0"/>
          <w:numId w:val="5"/>
        </w:numPr>
        <w:spacing w:after="0"/>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品质等级要求：参照GH/T 1358-2021《李等级规格》、NY/T 839-2004《鲜李》、DB 5204/T2-2019《地理标志产品镇宁蜂糖李》等标准要求</w:t>
      </w:r>
      <w:r>
        <w:rPr>
          <w:rFonts w:hint="eastAsia" w:ascii="仿宋_GB2312" w:eastAsia="仿宋_GB2312"/>
          <w:sz w:val="32"/>
          <w:szCs w:val="32"/>
          <w:highlight w:val="none"/>
          <w:lang w:val="en-US" w:eastAsia="zh-CN"/>
        </w:rPr>
        <w:t>设置可溶性固形物、总酸、硬度、水分、还原糖作为品质指标限值要求</w:t>
      </w:r>
      <w:r>
        <w:rPr>
          <w:rFonts w:hint="eastAsia" w:ascii="仿宋_GB2312" w:eastAsia="仿宋_GB2312"/>
          <w:sz w:val="32"/>
          <w:szCs w:val="32"/>
          <w:lang w:val="en-US" w:eastAsia="zh-CN"/>
        </w:rPr>
        <w:t>。</w:t>
      </w:r>
    </w:p>
    <w:p w14:paraId="15ABC2D1">
      <w:pPr>
        <w:pStyle w:val="5"/>
        <w:numPr>
          <w:ilvl w:val="0"/>
          <w:numId w:val="0"/>
        </w:numPr>
        <w:spacing w:after="0"/>
        <w:ind w:left="64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2.数据分析及确认</w:t>
      </w:r>
    </w:p>
    <w:p w14:paraId="2930C0E0">
      <w:pPr>
        <w:pStyle w:val="5"/>
        <w:numPr>
          <w:ilvl w:val="0"/>
          <w:numId w:val="0"/>
        </w:numPr>
        <w:spacing w:after="0"/>
        <w:ind w:left="64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2.1标准查询</w:t>
      </w:r>
    </w:p>
    <w:p w14:paraId="5930D5A6">
      <w:pPr>
        <w:pStyle w:val="5"/>
        <w:numPr>
          <w:ilvl w:val="0"/>
          <w:numId w:val="0"/>
        </w:numPr>
        <w:spacing w:after="0"/>
        <w:ind w:left="0"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经统计，</w:t>
      </w:r>
      <w:r>
        <w:rPr>
          <w:rFonts w:hint="default" w:ascii="仿宋_GB2312" w:eastAsia="仿宋_GB2312"/>
          <w:sz w:val="32"/>
          <w:szCs w:val="32"/>
          <w:lang w:val="en-US" w:eastAsia="zh-CN"/>
        </w:rPr>
        <w:t>目前我国现行有效的</w:t>
      </w:r>
      <w:r>
        <w:rPr>
          <w:rFonts w:hint="eastAsia" w:ascii="仿宋_GB2312" w:eastAsia="仿宋_GB2312"/>
          <w:sz w:val="32"/>
          <w:szCs w:val="32"/>
          <w:lang w:val="en-US" w:eastAsia="zh-CN"/>
        </w:rPr>
        <w:t>鲜李</w:t>
      </w:r>
      <w:r>
        <w:rPr>
          <w:rFonts w:hint="default" w:ascii="仿宋_GB2312" w:eastAsia="仿宋_GB2312"/>
          <w:sz w:val="32"/>
          <w:szCs w:val="32"/>
          <w:lang w:val="en-US" w:eastAsia="zh-CN"/>
        </w:rPr>
        <w:t>产品标准</w:t>
      </w:r>
      <w:r>
        <w:rPr>
          <w:rFonts w:hint="eastAsia" w:ascii="仿宋_GB2312" w:eastAsia="仿宋_GB2312"/>
          <w:sz w:val="32"/>
          <w:szCs w:val="32"/>
          <w:lang w:val="en-US" w:eastAsia="zh-CN"/>
        </w:rPr>
        <w:t>对</w:t>
      </w:r>
      <w:r>
        <w:rPr>
          <w:rFonts w:hint="eastAsia" w:ascii="仿宋_GB2312" w:eastAsia="仿宋_GB2312"/>
          <w:sz w:val="32"/>
          <w:szCs w:val="32"/>
          <w:highlight w:val="none"/>
          <w:lang w:val="en-US" w:eastAsia="zh-CN"/>
        </w:rPr>
        <w:t>可溶性固形物、总酸、还原糖</w:t>
      </w:r>
      <w:r>
        <w:rPr>
          <w:rFonts w:hint="default" w:ascii="仿宋_GB2312" w:eastAsia="仿宋_GB2312"/>
          <w:sz w:val="32"/>
          <w:szCs w:val="32"/>
          <w:lang w:val="en-US" w:eastAsia="zh-CN"/>
        </w:rPr>
        <w:t>指标的</w:t>
      </w:r>
      <w:r>
        <w:rPr>
          <w:rFonts w:hint="eastAsia" w:ascii="仿宋_GB2312" w:eastAsia="仿宋_GB2312"/>
          <w:sz w:val="32"/>
          <w:szCs w:val="32"/>
          <w:lang w:val="en-US" w:eastAsia="zh-CN"/>
        </w:rPr>
        <w:t>限值要求主要如下：</w:t>
      </w:r>
    </w:p>
    <w:p w14:paraId="3079144D">
      <w:pPr>
        <w:pStyle w:val="5"/>
        <w:numPr>
          <w:ilvl w:val="0"/>
          <w:numId w:val="0"/>
        </w:numPr>
        <w:spacing w:after="0"/>
        <w:jc w:val="left"/>
        <w:rPr>
          <w:rFonts w:hint="eastAsia" w:ascii="仿宋_GB2312" w:eastAsia="仿宋_GB2312"/>
          <w:sz w:val="32"/>
          <w:szCs w:val="32"/>
          <w:lang w:val="en-US" w:eastAsia="zh-CN"/>
        </w:rPr>
      </w:pPr>
    </w:p>
    <w:p w14:paraId="3320F27F">
      <w:pPr>
        <w:pStyle w:val="5"/>
        <w:numPr>
          <w:ilvl w:val="0"/>
          <w:numId w:val="0"/>
        </w:numPr>
        <w:spacing w:after="0"/>
        <w:jc w:val="left"/>
        <w:rPr>
          <w:rFonts w:hint="eastAsia" w:ascii="仿宋_GB2312" w:eastAsia="仿宋_GB2312"/>
          <w:sz w:val="32"/>
          <w:szCs w:val="32"/>
          <w:lang w:val="en-US" w:eastAsia="zh-CN"/>
        </w:rPr>
      </w:pPr>
    </w:p>
    <w:p w14:paraId="0662878D">
      <w:pPr>
        <w:pStyle w:val="5"/>
        <w:numPr>
          <w:ilvl w:val="0"/>
          <w:numId w:val="0"/>
        </w:numPr>
        <w:spacing w:after="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GH/T 1358-2021《李等级规格》</w:t>
      </w:r>
    </w:p>
    <w:p w14:paraId="01580279">
      <w:pPr>
        <w:pStyle w:val="5"/>
        <w:numPr>
          <w:ilvl w:val="0"/>
          <w:numId w:val="0"/>
        </w:numPr>
        <w:spacing w:after="0"/>
        <w:jc w:val="both"/>
        <w:rPr>
          <w:rFonts w:hint="eastAsia" w:ascii="仿宋_GB2312" w:eastAsia="仿宋_GB2312"/>
          <w:sz w:val="32"/>
          <w:szCs w:val="32"/>
          <w:lang w:val="en-US" w:eastAsia="zh-CN"/>
        </w:rPr>
      </w:pPr>
      <w:r>
        <w:drawing>
          <wp:inline distT="0" distB="0" distL="114300" distR="114300">
            <wp:extent cx="4845050" cy="4679950"/>
            <wp:effectExtent l="0" t="0" r="1270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845050" cy="4679950"/>
                    </a:xfrm>
                    <a:prstGeom prst="rect">
                      <a:avLst/>
                    </a:prstGeom>
                    <a:noFill/>
                    <a:ln>
                      <a:noFill/>
                    </a:ln>
                  </pic:spPr>
                </pic:pic>
              </a:graphicData>
            </a:graphic>
          </wp:inline>
        </w:drawing>
      </w:r>
    </w:p>
    <w:p w14:paraId="6A70A3A3">
      <w:pPr>
        <w:pStyle w:val="5"/>
        <w:numPr>
          <w:ilvl w:val="0"/>
          <w:numId w:val="0"/>
        </w:numPr>
        <w:spacing w:after="0"/>
        <w:jc w:val="left"/>
        <w:rPr>
          <w:rFonts w:hint="default"/>
          <w:lang w:val="en-US" w:eastAsia="zh-CN"/>
        </w:rPr>
      </w:pPr>
      <w:r>
        <w:rPr>
          <w:rFonts w:hint="eastAsia" w:ascii="仿宋_GB2312" w:eastAsia="仿宋_GB2312"/>
          <w:sz w:val="32"/>
          <w:szCs w:val="32"/>
          <w:lang w:val="en-US" w:eastAsia="zh-CN"/>
        </w:rPr>
        <w:t>DB 5204/T2-2019《地理标志产品镇宁蜂糖李》</w:t>
      </w:r>
    </w:p>
    <w:p w14:paraId="5BE1B09C">
      <w:pPr>
        <w:pStyle w:val="5"/>
        <w:numPr>
          <w:ilvl w:val="0"/>
          <w:numId w:val="0"/>
        </w:numPr>
        <w:spacing w:after="0"/>
        <w:jc w:val="center"/>
        <w:rPr>
          <w:rFonts w:hint="eastAsia" w:ascii="仿宋_GB2312" w:eastAsia="仿宋_GB2312"/>
          <w:sz w:val="32"/>
          <w:szCs w:val="32"/>
          <w:lang w:val="en-US" w:eastAsia="zh-CN"/>
        </w:rPr>
      </w:pPr>
      <w:r>
        <w:drawing>
          <wp:inline distT="0" distB="0" distL="114300" distR="114300">
            <wp:extent cx="4789805" cy="3168015"/>
            <wp:effectExtent l="0" t="0" r="10795"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4789805" cy="3168015"/>
                    </a:xfrm>
                    <a:prstGeom prst="rect">
                      <a:avLst/>
                    </a:prstGeom>
                    <a:noFill/>
                    <a:ln>
                      <a:noFill/>
                    </a:ln>
                  </pic:spPr>
                </pic:pic>
              </a:graphicData>
            </a:graphic>
          </wp:inline>
        </w:drawing>
      </w:r>
    </w:p>
    <w:p w14:paraId="14D178EA">
      <w:pPr>
        <w:pStyle w:val="5"/>
        <w:numPr>
          <w:ilvl w:val="0"/>
          <w:numId w:val="0"/>
        </w:numPr>
        <w:spacing w:after="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NY/T 839-2004《鲜李》</w:t>
      </w:r>
    </w:p>
    <w:p w14:paraId="0FB81D45">
      <w:pPr>
        <w:pStyle w:val="5"/>
        <w:numPr>
          <w:ilvl w:val="0"/>
          <w:numId w:val="0"/>
        </w:numPr>
        <w:spacing w:after="0"/>
        <w:jc w:val="center"/>
      </w:pPr>
      <w:r>
        <w:drawing>
          <wp:inline distT="0" distB="0" distL="114300" distR="114300">
            <wp:extent cx="4815840" cy="5904230"/>
            <wp:effectExtent l="0" t="0" r="381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815840" cy="5904230"/>
                    </a:xfrm>
                    <a:prstGeom prst="rect">
                      <a:avLst/>
                    </a:prstGeom>
                    <a:noFill/>
                    <a:ln>
                      <a:noFill/>
                    </a:ln>
                  </pic:spPr>
                </pic:pic>
              </a:graphicData>
            </a:graphic>
          </wp:inline>
        </w:drawing>
      </w:r>
      <w:r>
        <w:drawing>
          <wp:inline distT="0" distB="0" distL="114300" distR="114300">
            <wp:extent cx="4401820" cy="2447925"/>
            <wp:effectExtent l="0" t="0" r="177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401820" cy="2447925"/>
                    </a:xfrm>
                    <a:prstGeom prst="rect">
                      <a:avLst/>
                    </a:prstGeom>
                    <a:noFill/>
                    <a:ln>
                      <a:noFill/>
                    </a:ln>
                  </pic:spPr>
                </pic:pic>
              </a:graphicData>
            </a:graphic>
          </wp:inline>
        </w:drawing>
      </w:r>
    </w:p>
    <w:p w14:paraId="6192976A">
      <w:pPr>
        <w:pStyle w:val="5"/>
        <w:numPr>
          <w:ilvl w:val="0"/>
          <w:numId w:val="0"/>
        </w:numPr>
        <w:spacing w:after="0"/>
        <w:jc w:val="both"/>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2.2</w:t>
      </w:r>
      <w:r>
        <w:rPr>
          <w:rFonts w:hint="eastAsia" w:ascii="仿宋_GB2312" w:eastAsia="仿宋_GB2312" w:cs="Times New Roman"/>
          <w:kern w:val="2"/>
          <w:sz w:val="32"/>
          <w:szCs w:val="32"/>
          <w:lang w:val="en-US" w:eastAsia="zh-CN" w:bidi="ar-SA"/>
        </w:rPr>
        <w:t>文献及检测数据</w:t>
      </w:r>
    </w:p>
    <w:p w14:paraId="5E0069D8">
      <w:pPr>
        <w:pStyle w:val="5"/>
        <w:numPr>
          <w:ilvl w:val="0"/>
          <w:numId w:val="0"/>
        </w:numPr>
        <w:spacing w:after="0"/>
        <w:ind w:firstLine="640"/>
        <w:jc w:val="both"/>
        <w:rPr>
          <w:rFonts w:hint="default" w:ascii="仿宋_GB2312" w:eastAsia="仿宋_GB2312"/>
          <w:sz w:val="32"/>
          <w:szCs w:val="32"/>
          <w:lang w:val="en-US" w:eastAsia="zh-CN"/>
        </w:rPr>
      </w:pPr>
      <w:r>
        <w:rPr>
          <w:rFonts w:hint="eastAsia" w:ascii="仿宋_GB2312" w:eastAsia="仿宋_GB2312" w:cs="Times New Roman"/>
          <w:kern w:val="2"/>
          <w:sz w:val="32"/>
          <w:szCs w:val="32"/>
          <w:lang w:val="en-US" w:eastAsia="zh-CN" w:bidi="ar-SA"/>
        </w:rPr>
        <w:t>通过对蜂糖李相关文献数</w:t>
      </w:r>
      <w:r>
        <w:rPr>
          <w:rFonts w:hint="eastAsia" w:ascii="仿宋_GB2312" w:eastAsia="仿宋_GB2312" w:cs="Times New Roman"/>
          <w:kern w:val="2"/>
          <w:sz w:val="32"/>
          <w:szCs w:val="32"/>
          <w:highlight w:val="none"/>
          <w:lang w:val="en-US" w:eastAsia="zh-CN" w:bidi="ar-SA"/>
        </w:rPr>
        <w:t>据收集整理，收集蜂糖李中</w:t>
      </w:r>
      <w:r>
        <w:rPr>
          <w:rFonts w:hint="eastAsia" w:ascii="仿宋_GB2312" w:eastAsia="仿宋_GB2312"/>
          <w:sz w:val="32"/>
          <w:szCs w:val="32"/>
          <w:highlight w:val="none"/>
          <w:lang w:val="en-US" w:eastAsia="zh-CN"/>
        </w:rPr>
        <w:t>可溶性固形物、总酸、硬度、水分、还原糖数据357组。</w:t>
      </w:r>
    </w:p>
    <w:p w14:paraId="7539E998">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firstLine="641"/>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综合</w:t>
      </w:r>
      <w:r>
        <w:rPr>
          <w:rFonts w:hint="eastAsia" w:ascii="仿宋_GB2312" w:eastAsia="仿宋_GB2312" w:cs="Times New Roman"/>
          <w:kern w:val="2"/>
          <w:sz w:val="32"/>
          <w:szCs w:val="32"/>
          <w:lang w:val="en-US" w:eastAsia="zh-CN" w:bidi="ar-SA"/>
        </w:rPr>
        <w:t>文献及检测数据</w:t>
      </w:r>
      <w:r>
        <w:rPr>
          <w:rFonts w:hint="eastAsia" w:ascii="仿宋_GB2312" w:eastAsia="仿宋_GB2312"/>
          <w:sz w:val="32"/>
          <w:szCs w:val="32"/>
          <w:lang w:val="en-US" w:eastAsia="zh-CN"/>
        </w:rPr>
        <w:t>分析，结合现行有效的标准要求，</w:t>
      </w:r>
      <w:r>
        <w:rPr>
          <w:rFonts w:hint="eastAsia" w:eastAsia="仿宋_GB2312" w:cs="Times New Roman"/>
          <w:sz w:val="32"/>
          <w:szCs w:val="32"/>
          <w:highlight w:val="none"/>
          <w:lang w:val="en-US" w:eastAsia="zh-CN"/>
        </w:rPr>
        <w:t>蜂糖李</w:t>
      </w:r>
      <w:r>
        <w:rPr>
          <w:rFonts w:hint="eastAsia" w:ascii="仿宋_GB2312" w:eastAsia="仿宋_GB2312"/>
          <w:sz w:val="32"/>
          <w:szCs w:val="32"/>
          <w:lang w:val="en-US" w:eastAsia="zh-CN"/>
        </w:rPr>
        <w:t>品质指标如下：</w:t>
      </w:r>
    </w:p>
    <w:p w14:paraId="0CFD8283">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jc w:val="both"/>
        <w:textAlignment w:val="auto"/>
        <w:rPr>
          <w:rFonts w:hint="eastAsia" w:ascii="仿宋_GB2312" w:eastAsia="仿宋_GB2312"/>
          <w:sz w:val="32"/>
          <w:szCs w:val="32"/>
          <w:lang w:val="en-US" w:eastAsia="zh-CN"/>
        </w:rPr>
      </w:pPr>
      <w:r>
        <w:drawing>
          <wp:inline distT="0" distB="0" distL="114300" distR="114300">
            <wp:extent cx="5269230" cy="1986915"/>
            <wp:effectExtent l="0" t="0" r="7620" b="133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5269230" cy="1986915"/>
                    </a:xfrm>
                    <a:prstGeom prst="rect">
                      <a:avLst/>
                    </a:prstGeom>
                    <a:noFill/>
                    <a:ln>
                      <a:noFill/>
                    </a:ln>
                  </pic:spPr>
                </pic:pic>
              </a:graphicData>
            </a:graphic>
          </wp:inline>
        </w:drawing>
      </w:r>
    </w:p>
    <w:p w14:paraId="3A4EAAF7">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四、标准可能带来的经济和社会影响评估</w:t>
      </w:r>
    </w:p>
    <w:p w14:paraId="39E2277B">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通过本标准的发布及在深圳农产品质量提升联盟内应</w:t>
      </w:r>
      <w:bookmarkStart w:id="0" w:name="_GoBack"/>
      <w:bookmarkEnd w:id="0"/>
      <w:r>
        <w:rPr>
          <w:rFonts w:hint="eastAsia" w:ascii="仿宋_GB2312" w:eastAsia="仿宋_GB2312"/>
          <w:sz w:val="32"/>
          <w:szCs w:val="32"/>
          <w:lang w:eastAsia="zh-CN"/>
        </w:rPr>
        <w:t>用，将有效推动深圳市高品质</w:t>
      </w:r>
      <w:r>
        <w:rPr>
          <w:rFonts w:hint="eastAsia" w:eastAsia="仿宋_GB2312" w:cs="Times New Roman"/>
          <w:sz w:val="32"/>
          <w:szCs w:val="32"/>
          <w:highlight w:val="none"/>
          <w:lang w:val="en-US" w:eastAsia="zh-CN"/>
        </w:rPr>
        <w:t>蜂糖李</w:t>
      </w:r>
      <w:r>
        <w:rPr>
          <w:rFonts w:hint="eastAsia" w:ascii="仿宋_GB2312" w:eastAsia="仿宋_GB2312"/>
          <w:sz w:val="32"/>
          <w:szCs w:val="32"/>
          <w:lang w:eastAsia="zh-CN"/>
        </w:rPr>
        <w:t>产品的发展，对开展深圳市农产品监管监测、农产品生产经营等具有积极的指导作用。</w:t>
      </w:r>
    </w:p>
    <w:p w14:paraId="363347DB">
      <w:pPr>
        <w:spacing w:line="360" w:lineRule="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、团体标准先进性说明</w:t>
      </w:r>
    </w:p>
    <w:p w14:paraId="57AE2527">
      <w:pPr>
        <w:spacing w:line="360" w:lineRule="auto"/>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本标准在制定过程中，充分考虑了国内</w:t>
      </w:r>
      <w:r>
        <w:rPr>
          <w:rFonts w:hint="eastAsia" w:eastAsia="仿宋_GB2312" w:cs="Times New Roman"/>
          <w:sz w:val="32"/>
          <w:szCs w:val="32"/>
          <w:highlight w:val="none"/>
          <w:lang w:val="en-US" w:eastAsia="zh-CN"/>
        </w:rPr>
        <w:t>蜂糖李</w:t>
      </w:r>
      <w:r>
        <w:rPr>
          <w:rFonts w:hint="eastAsia" w:ascii="仿宋_GB2312" w:eastAsia="仿宋_GB2312"/>
          <w:sz w:val="32"/>
          <w:szCs w:val="32"/>
          <w:lang w:val="en-US" w:eastAsia="zh-CN"/>
        </w:rPr>
        <w:t>产业现状和行业发展的市场需求，与现有标准相比，能够更好地满足市场和消费者的实际需求，在内容上达到国内先进水平。</w:t>
      </w:r>
    </w:p>
    <w:p w14:paraId="41C930A5">
      <w:p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六</w:t>
      </w:r>
      <w:r>
        <w:rPr>
          <w:rFonts w:hint="eastAsia" w:ascii="黑体" w:hAnsi="黑体" w:eastAsia="黑体" w:cs="黑体"/>
          <w:sz w:val="32"/>
          <w:szCs w:val="32"/>
        </w:rPr>
        <w:t>、征求意见</w:t>
      </w:r>
      <w:r>
        <w:rPr>
          <w:rFonts w:hint="eastAsia" w:ascii="黑体" w:hAnsi="黑体" w:eastAsia="黑体" w:cs="黑体"/>
          <w:sz w:val="32"/>
          <w:szCs w:val="32"/>
          <w:lang w:eastAsia="zh-CN"/>
        </w:rPr>
        <w:t>的采纳情况</w:t>
      </w:r>
    </w:p>
    <w:p w14:paraId="121DCF80">
      <w:pPr>
        <w:keepNext w:val="0"/>
        <w:keepLines w:val="0"/>
        <w:pageBreakBefore w:val="0"/>
        <w:widowControl w:val="0"/>
        <w:kinsoku/>
        <w:wordWrap/>
        <w:overflowPunct/>
        <w:topLinePunct w:val="0"/>
        <w:autoSpaceDE/>
        <w:autoSpaceDN/>
        <w:bidi w:val="0"/>
        <w:adjustRightInd/>
        <w:snapToGrid/>
        <w:spacing w:after="157" w:afterLines="50"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标准征求意见稿于2025年 月至 月在深圳市农业产业化龙头企业协会及全国团体标准信息平台公开征求意见，期间共收集意见反馈  条，采纳  条。</w:t>
      </w:r>
    </w:p>
    <w:tbl>
      <w:tblPr>
        <w:tblStyle w:val="6"/>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50"/>
        <w:gridCol w:w="2351"/>
        <w:gridCol w:w="1506"/>
        <w:gridCol w:w="1243"/>
        <w:gridCol w:w="1577"/>
      </w:tblGrid>
      <w:tr w14:paraId="7DAA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678" w:type="dxa"/>
            <w:tcBorders>
              <w:top w:val="single" w:color="auto" w:sz="4" w:space="0"/>
              <w:left w:val="single" w:color="auto" w:sz="4" w:space="0"/>
              <w:bottom w:val="single" w:color="auto" w:sz="4" w:space="0"/>
              <w:right w:val="single" w:color="auto" w:sz="4" w:space="0"/>
            </w:tcBorders>
            <w:vAlign w:val="center"/>
          </w:tcPr>
          <w:p w14:paraId="656F4BA0">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1050" w:type="dxa"/>
            <w:tcBorders>
              <w:top w:val="single" w:color="auto" w:sz="4" w:space="0"/>
              <w:left w:val="single" w:color="auto" w:sz="4" w:space="0"/>
              <w:bottom w:val="single" w:color="auto" w:sz="4" w:space="0"/>
              <w:right w:val="single" w:color="auto" w:sz="4" w:space="0"/>
            </w:tcBorders>
            <w:vAlign w:val="center"/>
          </w:tcPr>
          <w:p w14:paraId="282B95A8">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章条</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编号</w:t>
            </w:r>
          </w:p>
        </w:tc>
        <w:tc>
          <w:tcPr>
            <w:tcW w:w="2351" w:type="dxa"/>
            <w:tcBorders>
              <w:top w:val="single" w:color="auto" w:sz="4" w:space="0"/>
              <w:left w:val="single" w:color="auto" w:sz="4" w:space="0"/>
              <w:bottom w:val="single" w:color="auto" w:sz="4" w:space="0"/>
              <w:right w:val="single" w:color="auto" w:sz="4" w:space="0"/>
            </w:tcBorders>
            <w:vAlign w:val="center"/>
          </w:tcPr>
          <w:p w14:paraId="12ACC77C">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意见内容</w:t>
            </w:r>
          </w:p>
        </w:tc>
        <w:tc>
          <w:tcPr>
            <w:tcW w:w="1506" w:type="dxa"/>
            <w:tcBorders>
              <w:top w:val="single" w:color="auto" w:sz="4" w:space="0"/>
              <w:left w:val="single" w:color="auto" w:sz="4" w:space="0"/>
              <w:bottom w:val="single" w:color="auto" w:sz="4" w:space="0"/>
              <w:right w:val="single" w:color="auto" w:sz="4" w:space="0"/>
            </w:tcBorders>
            <w:vAlign w:val="center"/>
          </w:tcPr>
          <w:p w14:paraId="520187EA">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提出单位</w:t>
            </w:r>
          </w:p>
          <w:p w14:paraId="02DB75A8">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(写全称)</w:t>
            </w:r>
          </w:p>
        </w:tc>
        <w:tc>
          <w:tcPr>
            <w:tcW w:w="1243" w:type="dxa"/>
            <w:tcBorders>
              <w:top w:val="single" w:color="auto" w:sz="4" w:space="0"/>
              <w:left w:val="single" w:color="auto" w:sz="4" w:space="0"/>
              <w:bottom w:val="single" w:color="auto" w:sz="4" w:space="0"/>
              <w:right w:val="single" w:color="auto" w:sz="4" w:space="0"/>
            </w:tcBorders>
            <w:vAlign w:val="center"/>
          </w:tcPr>
          <w:p w14:paraId="007EF730">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处理意见</w:t>
            </w:r>
          </w:p>
        </w:tc>
        <w:tc>
          <w:tcPr>
            <w:tcW w:w="1577" w:type="dxa"/>
            <w:tcBorders>
              <w:top w:val="single" w:color="auto" w:sz="4" w:space="0"/>
              <w:left w:val="single" w:color="auto" w:sz="4" w:space="0"/>
              <w:bottom w:val="single" w:color="auto" w:sz="4" w:space="0"/>
              <w:right w:val="single" w:color="auto" w:sz="4" w:space="0"/>
            </w:tcBorders>
            <w:vAlign w:val="center"/>
          </w:tcPr>
          <w:p w14:paraId="70A616A6">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备注</w:t>
            </w:r>
          </w:p>
        </w:tc>
      </w:tr>
      <w:tr w14:paraId="7D84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8" w:hRule="atLeast"/>
        </w:trPr>
        <w:tc>
          <w:tcPr>
            <w:tcW w:w="678" w:type="dxa"/>
            <w:tcBorders>
              <w:top w:val="single" w:color="auto" w:sz="4" w:space="0"/>
              <w:left w:val="single" w:color="auto" w:sz="4" w:space="0"/>
              <w:bottom w:val="single" w:color="auto" w:sz="4" w:space="0"/>
              <w:right w:val="single" w:color="auto" w:sz="4" w:space="0"/>
            </w:tcBorders>
            <w:vAlign w:val="center"/>
          </w:tcPr>
          <w:p w14:paraId="32F4C416">
            <w:pPr>
              <w:spacing w:line="360" w:lineRule="auto"/>
              <w:jc w:val="center"/>
              <w:rPr>
                <w:rFonts w:hint="eastAsia" w:ascii="仿宋_GB2312" w:hAnsi="仿宋_GB2312" w:eastAsia="仿宋_GB2312" w:cs="仿宋_GB2312"/>
                <w:sz w:val="24"/>
                <w:lang w:val="en-US" w:eastAsia="zh-CN"/>
              </w:rPr>
            </w:pPr>
          </w:p>
        </w:tc>
        <w:tc>
          <w:tcPr>
            <w:tcW w:w="1050" w:type="dxa"/>
            <w:tcBorders>
              <w:top w:val="single" w:color="auto" w:sz="4" w:space="0"/>
              <w:left w:val="single" w:color="auto" w:sz="4" w:space="0"/>
              <w:bottom w:val="single" w:color="auto" w:sz="4" w:space="0"/>
              <w:right w:val="single" w:color="auto" w:sz="4" w:space="0"/>
            </w:tcBorders>
            <w:vAlign w:val="center"/>
          </w:tcPr>
          <w:p w14:paraId="205909DB">
            <w:pPr>
              <w:spacing w:line="360" w:lineRule="auto"/>
              <w:jc w:val="center"/>
              <w:rPr>
                <w:rFonts w:hint="eastAsia" w:ascii="仿宋_GB2312" w:hAnsi="仿宋_GB2312" w:eastAsia="仿宋_GB2312" w:cs="仿宋_GB2312"/>
                <w:sz w:val="24"/>
                <w:lang w:val="en-US" w:eastAsia="zh-CN"/>
              </w:rPr>
            </w:pPr>
          </w:p>
        </w:tc>
        <w:tc>
          <w:tcPr>
            <w:tcW w:w="2351" w:type="dxa"/>
            <w:tcBorders>
              <w:top w:val="single" w:color="auto" w:sz="4" w:space="0"/>
              <w:left w:val="single" w:color="auto" w:sz="4" w:space="0"/>
              <w:bottom w:val="single" w:color="auto" w:sz="4" w:space="0"/>
              <w:right w:val="single" w:color="auto" w:sz="4" w:space="0"/>
            </w:tcBorders>
            <w:vAlign w:val="center"/>
          </w:tcPr>
          <w:p w14:paraId="1F4AB905">
            <w:pPr>
              <w:spacing w:line="360" w:lineRule="auto"/>
              <w:jc w:val="both"/>
              <w:rPr>
                <w:rFonts w:hint="eastAsia" w:ascii="仿宋_GB2312" w:hAnsi="仿宋_GB2312"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vAlign w:val="center"/>
          </w:tcPr>
          <w:p w14:paraId="62985876">
            <w:pPr>
              <w:spacing w:line="360" w:lineRule="auto"/>
              <w:jc w:val="center"/>
              <w:rPr>
                <w:rFonts w:hint="eastAsia" w:ascii="仿宋_GB2312" w:hAnsi="仿宋_GB2312" w:eastAsia="仿宋_GB2312" w:cs="仿宋_GB2312"/>
                <w:sz w:val="24"/>
              </w:rPr>
            </w:pPr>
          </w:p>
        </w:tc>
        <w:tc>
          <w:tcPr>
            <w:tcW w:w="1243" w:type="dxa"/>
            <w:tcBorders>
              <w:top w:val="single" w:color="auto" w:sz="4" w:space="0"/>
              <w:left w:val="single" w:color="auto" w:sz="4" w:space="0"/>
              <w:bottom w:val="single" w:color="auto" w:sz="4" w:space="0"/>
              <w:right w:val="single" w:color="auto" w:sz="4" w:space="0"/>
            </w:tcBorders>
            <w:vAlign w:val="center"/>
          </w:tcPr>
          <w:p w14:paraId="07CE5707">
            <w:pPr>
              <w:spacing w:line="360" w:lineRule="auto"/>
              <w:jc w:val="center"/>
              <w:rPr>
                <w:rFonts w:hint="eastAsia" w:ascii="仿宋_GB2312" w:hAnsi="仿宋_GB2312" w:eastAsia="仿宋_GB2312" w:cs="仿宋_GB2312"/>
                <w:sz w:val="24"/>
                <w:lang w:eastAsia="zh-CN"/>
              </w:rPr>
            </w:pPr>
          </w:p>
        </w:tc>
        <w:tc>
          <w:tcPr>
            <w:tcW w:w="1577" w:type="dxa"/>
            <w:tcBorders>
              <w:top w:val="single" w:color="auto" w:sz="4" w:space="0"/>
              <w:left w:val="single" w:color="auto" w:sz="4" w:space="0"/>
              <w:bottom w:val="single" w:color="auto" w:sz="4" w:space="0"/>
              <w:right w:val="single" w:color="auto" w:sz="4" w:space="0"/>
            </w:tcBorders>
            <w:vAlign w:val="center"/>
          </w:tcPr>
          <w:p w14:paraId="4C60DCE1">
            <w:pPr>
              <w:spacing w:line="360" w:lineRule="auto"/>
              <w:jc w:val="both"/>
              <w:rPr>
                <w:rFonts w:hint="eastAsia" w:ascii="仿宋_GB2312" w:hAnsi="仿宋_GB2312" w:eastAsia="仿宋_GB2312" w:cs="仿宋_GB2312"/>
                <w:sz w:val="24"/>
                <w:lang w:eastAsia="zh-CN"/>
              </w:rPr>
            </w:pPr>
          </w:p>
        </w:tc>
      </w:tr>
    </w:tbl>
    <w:p w14:paraId="1ABDB750">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sz w:val="32"/>
          <w:szCs w:val="32"/>
        </w:rPr>
      </w:pPr>
      <w:r>
        <w:rPr>
          <w:rFonts w:hint="eastAsia" w:ascii="黑体" w:hAnsi="黑体" w:eastAsia="黑体" w:cs="黑体"/>
          <w:sz w:val="32"/>
          <w:szCs w:val="32"/>
          <w:lang w:eastAsia="zh-CN"/>
        </w:rPr>
        <w:t>七</w:t>
      </w:r>
      <w:r>
        <w:rPr>
          <w:rFonts w:hint="eastAsia" w:ascii="黑体" w:hAnsi="黑体" w:eastAsia="黑体" w:cs="黑体"/>
          <w:sz w:val="32"/>
          <w:szCs w:val="32"/>
        </w:rPr>
        <w:t>、其它应予说明的事项</w:t>
      </w:r>
    </w:p>
    <w:p w14:paraId="4E01B292">
      <w:pPr>
        <w:tabs>
          <w:tab w:val="left" w:pos="2373"/>
        </w:tabs>
        <w:bidi w:val="0"/>
        <w:ind w:firstLine="640" w:firstLineChars="200"/>
        <w:jc w:val="both"/>
        <w:rPr>
          <w:lang w:val="en-US" w:eastAsia="zh-CN"/>
        </w:rPr>
      </w:pPr>
      <w:r>
        <w:rPr>
          <w:rFonts w:hint="eastAsia" w:ascii="仿宋_GB2312" w:eastAsia="仿宋_GB2312"/>
          <w:sz w:val="32"/>
          <w:szCs w:val="32"/>
        </w:rPr>
        <w:t>本标准适用于</w:t>
      </w:r>
      <w:r>
        <w:rPr>
          <w:rFonts w:hint="eastAsia" w:ascii="仿宋_GB2312" w:eastAsia="仿宋_GB2312"/>
          <w:sz w:val="32"/>
          <w:szCs w:val="32"/>
          <w:lang w:eastAsia="zh-CN"/>
        </w:rPr>
        <w:t>深圳市农产品质量提升联盟</w:t>
      </w:r>
      <w:r>
        <w:rPr>
          <w:rFonts w:hint="eastAsia" w:ascii="仿宋_GB2312" w:eastAsia="仿宋_GB2312"/>
          <w:sz w:val="32"/>
          <w:szCs w:val="32"/>
        </w:rPr>
        <w:t>高品质</w:t>
      </w:r>
      <w:r>
        <w:rPr>
          <w:rFonts w:hint="eastAsia" w:eastAsia="仿宋_GB2312" w:cs="Times New Roman"/>
          <w:sz w:val="32"/>
          <w:szCs w:val="32"/>
          <w:highlight w:val="none"/>
          <w:lang w:val="en-US" w:eastAsia="zh-CN"/>
        </w:rPr>
        <w:t>蜂糖李</w:t>
      </w:r>
      <w:r>
        <w:rPr>
          <w:rFonts w:hint="eastAsia" w:ascii="仿宋_GB2312" w:eastAsia="仿宋_GB2312"/>
          <w:sz w:val="32"/>
          <w:szCs w:val="32"/>
        </w:rPr>
        <w:t>，</w:t>
      </w:r>
      <w:r>
        <w:rPr>
          <w:rFonts w:hint="eastAsia" w:ascii="仿宋_GB2312" w:eastAsia="仿宋_GB2312"/>
          <w:sz w:val="32"/>
          <w:szCs w:val="32"/>
          <w:lang w:eastAsia="zh-CN"/>
        </w:rPr>
        <w:t>品质分级</w:t>
      </w:r>
      <w:r>
        <w:rPr>
          <w:rFonts w:hint="eastAsia" w:ascii="仿宋_GB2312" w:eastAsia="仿宋_GB2312"/>
          <w:sz w:val="32"/>
          <w:szCs w:val="32"/>
        </w:rPr>
        <w:t>项目及指标将每年根据</w:t>
      </w:r>
      <w:r>
        <w:rPr>
          <w:rFonts w:hint="eastAsia" w:ascii="仿宋_GB2312" w:eastAsia="仿宋_GB2312"/>
          <w:sz w:val="32"/>
          <w:szCs w:val="32"/>
          <w:lang w:eastAsia="zh-CN"/>
        </w:rPr>
        <w:t>国内</w:t>
      </w:r>
      <w:r>
        <w:rPr>
          <w:rFonts w:hint="eastAsia" w:eastAsia="仿宋_GB2312" w:cs="Times New Roman"/>
          <w:sz w:val="32"/>
          <w:szCs w:val="32"/>
          <w:highlight w:val="none"/>
          <w:lang w:val="en-US" w:eastAsia="zh-CN"/>
        </w:rPr>
        <w:t>蜂糖李</w:t>
      </w:r>
      <w:r>
        <w:rPr>
          <w:rFonts w:hint="eastAsia" w:ascii="仿宋_GB2312" w:eastAsia="仿宋_GB2312"/>
          <w:sz w:val="32"/>
          <w:szCs w:val="32"/>
        </w:rPr>
        <w:t>相关</w:t>
      </w:r>
      <w:r>
        <w:rPr>
          <w:rFonts w:hint="eastAsia" w:ascii="仿宋_GB2312" w:eastAsia="仿宋_GB2312"/>
          <w:sz w:val="32"/>
          <w:szCs w:val="32"/>
          <w:lang w:eastAsia="zh-CN"/>
        </w:rPr>
        <w:t>标准</w:t>
      </w:r>
      <w:r>
        <w:rPr>
          <w:rFonts w:hint="eastAsia" w:ascii="仿宋_GB2312" w:eastAsia="仿宋_GB2312"/>
          <w:sz w:val="32"/>
          <w:szCs w:val="32"/>
        </w:rPr>
        <w:t>要求的变更进行相应调整</w:t>
      </w:r>
      <w:r>
        <w:rPr>
          <w:rFonts w:hint="eastAsia" w:ascii="仿宋_GB2312" w:eastAsia="仿宋_GB2312"/>
          <w:sz w:val="32"/>
          <w:szCs w:val="32"/>
          <w:lang w:eastAsia="zh-CN"/>
        </w:rPr>
        <w:t>。</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3436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FD948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EFD948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64A20"/>
    <w:multiLevelType w:val="singleLevel"/>
    <w:tmpl w:val="A3664A20"/>
    <w:lvl w:ilvl="0" w:tentative="0">
      <w:start w:val="1"/>
      <w:numFmt w:val="decimal"/>
      <w:suff w:val="nothing"/>
      <w:lvlText w:val="（%1）"/>
      <w:lvlJc w:val="left"/>
    </w:lvl>
  </w:abstractNum>
  <w:abstractNum w:abstractNumId="1">
    <w:nsid w:val="BB1EFE31"/>
    <w:multiLevelType w:val="singleLevel"/>
    <w:tmpl w:val="BB1EFE31"/>
    <w:lvl w:ilvl="0" w:tentative="0">
      <w:start w:val="2"/>
      <w:numFmt w:val="chineseCounting"/>
      <w:suff w:val="nothing"/>
      <w:lvlText w:val="（%1）"/>
      <w:lvlJc w:val="left"/>
      <w:rPr>
        <w:rFonts w:hint="eastAsia"/>
      </w:rPr>
    </w:lvl>
  </w:abstractNum>
  <w:abstractNum w:abstractNumId="2">
    <w:nsid w:val="EA02FFF4"/>
    <w:multiLevelType w:val="singleLevel"/>
    <w:tmpl w:val="EA02FFF4"/>
    <w:lvl w:ilvl="0" w:tentative="0">
      <w:start w:val="1"/>
      <w:numFmt w:val="chineseCounting"/>
      <w:suff w:val="nothing"/>
      <w:lvlText w:val="（%1）"/>
      <w:lvlJc w:val="left"/>
      <w:pPr>
        <w:ind w:left="640" w:leftChars="0" w:firstLine="0" w:firstLineChars="0"/>
      </w:pPr>
      <w:rPr>
        <w:rFonts w:hint="eastAsia"/>
      </w:rPr>
    </w:lvl>
  </w:abstractNum>
  <w:abstractNum w:abstractNumId="3">
    <w:nsid w:val="032E5610"/>
    <w:multiLevelType w:val="singleLevel"/>
    <w:tmpl w:val="032E5610"/>
    <w:lvl w:ilvl="0" w:tentative="0">
      <w:start w:val="2"/>
      <w:numFmt w:val="chineseCounting"/>
      <w:suff w:val="nothing"/>
      <w:lvlText w:val="%1、"/>
      <w:lvlJc w:val="left"/>
      <w:rPr>
        <w:rFonts w:hint="eastAsia"/>
      </w:rPr>
    </w:lvl>
  </w:abstractNum>
  <w:abstractNum w:abstractNumId="4">
    <w:nsid w:val="408D83F7"/>
    <w:multiLevelType w:val="singleLevel"/>
    <w:tmpl w:val="408D83F7"/>
    <w:lvl w:ilvl="0" w:tentative="0">
      <w:start w:val="2"/>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xYjFiMTAxNGYzYjNjMTc2ODc4NzdkNzIzNzMyNDQifQ=="/>
  </w:docVars>
  <w:rsids>
    <w:rsidRoot w:val="007B00FE"/>
    <w:rsid w:val="00251DD7"/>
    <w:rsid w:val="006F037C"/>
    <w:rsid w:val="007B00FE"/>
    <w:rsid w:val="00A64C49"/>
    <w:rsid w:val="00C837BB"/>
    <w:rsid w:val="00F47C0A"/>
    <w:rsid w:val="011E0236"/>
    <w:rsid w:val="016320EC"/>
    <w:rsid w:val="03783E0A"/>
    <w:rsid w:val="045F6B9B"/>
    <w:rsid w:val="063858F6"/>
    <w:rsid w:val="06EE14DC"/>
    <w:rsid w:val="07230354"/>
    <w:rsid w:val="088E3EF3"/>
    <w:rsid w:val="089A478D"/>
    <w:rsid w:val="089E152A"/>
    <w:rsid w:val="08E33E8F"/>
    <w:rsid w:val="09EF4C97"/>
    <w:rsid w:val="0AA7729E"/>
    <w:rsid w:val="0AC97464"/>
    <w:rsid w:val="0B132EAB"/>
    <w:rsid w:val="0B1D58FE"/>
    <w:rsid w:val="0C272694"/>
    <w:rsid w:val="0E462B7A"/>
    <w:rsid w:val="106A6FF4"/>
    <w:rsid w:val="113373E5"/>
    <w:rsid w:val="11482EBF"/>
    <w:rsid w:val="116A4DD1"/>
    <w:rsid w:val="117F48B9"/>
    <w:rsid w:val="12A549E0"/>
    <w:rsid w:val="133E6515"/>
    <w:rsid w:val="13D84274"/>
    <w:rsid w:val="142D3EF2"/>
    <w:rsid w:val="14D1667B"/>
    <w:rsid w:val="15074457"/>
    <w:rsid w:val="153B0F83"/>
    <w:rsid w:val="158C27EA"/>
    <w:rsid w:val="15AE34DE"/>
    <w:rsid w:val="170B670F"/>
    <w:rsid w:val="18E13BCB"/>
    <w:rsid w:val="194A79C2"/>
    <w:rsid w:val="19520625"/>
    <w:rsid w:val="195B5909"/>
    <w:rsid w:val="19B94B48"/>
    <w:rsid w:val="1AB04E2D"/>
    <w:rsid w:val="1B997BC3"/>
    <w:rsid w:val="1BFE7CB7"/>
    <w:rsid w:val="1DC76D67"/>
    <w:rsid w:val="1E7E08AD"/>
    <w:rsid w:val="2051788A"/>
    <w:rsid w:val="207277FE"/>
    <w:rsid w:val="21773466"/>
    <w:rsid w:val="2450749E"/>
    <w:rsid w:val="24B7666D"/>
    <w:rsid w:val="24ED56A6"/>
    <w:rsid w:val="25E25DA3"/>
    <w:rsid w:val="26570C4B"/>
    <w:rsid w:val="26902766"/>
    <w:rsid w:val="286363AA"/>
    <w:rsid w:val="28A90122"/>
    <w:rsid w:val="28DC7F0B"/>
    <w:rsid w:val="29CE1F49"/>
    <w:rsid w:val="29FF65A7"/>
    <w:rsid w:val="2A091F98"/>
    <w:rsid w:val="2A30050E"/>
    <w:rsid w:val="2AB32E3C"/>
    <w:rsid w:val="2AE71242"/>
    <w:rsid w:val="2B2251B9"/>
    <w:rsid w:val="2B7E4063"/>
    <w:rsid w:val="2B8A1EA0"/>
    <w:rsid w:val="2BCC24B9"/>
    <w:rsid w:val="2BDC3E44"/>
    <w:rsid w:val="2BFE692D"/>
    <w:rsid w:val="2C2C1541"/>
    <w:rsid w:val="2C324C66"/>
    <w:rsid w:val="2CC3566A"/>
    <w:rsid w:val="2DFD4010"/>
    <w:rsid w:val="2ED5358C"/>
    <w:rsid w:val="2F3C1703"/>
    <w:rsid w:val="2FBE65BC"/>
    <w:rsid w:val="326E7E26"/>
    <w:rsid w:val="338D69D1"/>
    <w:rsid w:val="33C00B55"/>
    <w:rsid w:val="3454129D"/>
    <w:rsid w:val="34B47F8E"/>
    <w:rsid w:val="34F0546A"/>
    <w:rsid w:val="35A46254"/>
    <w:rsid w:val="35CD3896"/>
    <w:rsid w:val="36996F01"/>
    <w:rsid w:val="369D33CF"/>
    <w:rsid w:val="37397DA9"/>
    <w:rsid w:val="37533A8E"/>
    <w:rsid w:val="37C329C2"/>
    <w:rsid w:val="391D3E4B"/>
    <w:rsid w:val="39700927"/>
    <w:rsid w:val="3A916DA7"/>
    <w:rsid w:val="3ACC0DB7"/>
    <w:rsid w:val="3ACC6A18"/>
    <w:rsid w:val="3B516536"/>
    <w:rsid w:val="3BEE3D1E"/>
    <w:rsid w:val="3CA628B2"/>
    <w:rsid w:val="3D5D5666"/>
    <w:rsid w:val="3E5756D5"/>
    <w:rsid w:val="3F0538C0"/>
    <w:rsid w:val="3F4563B2"/>
    <w:rsid w:val="410A1661"/>
    <w:rsid w:val="418F1B67"/>
    <w:rsid w:val="4262727B"/>
    <w:rsid w:val="4290203A"/>
    <w:rsid w:val="436314FD"/>
    <w:rsid w:val="44851742"/>
    <w:rsid w:val="453B44DF"/>
    <w:rsid w:val="453C3DB3"/>
    <w:rsid w:val="468C2A4E"/>
    <w:rsid w:val="476873C0"/>
    <w:rsid w:val="482E032B"/>
    <w:rsid w:val="4856518C"/>
    <w:rsid w:val="48765269"/>
    <w:rsid w:val="48D43CFA"/>
    <w:rsid w:val="48DA400F"/>
    <w:rsid w:val="49070B73"/>
    <w:rsid w:val="49142F9E"/>
    <w:rsid w:val="49E113CD"/>
    <w:rsid w:val="4A663DFD"/>
    <w:rsid w:val="4AAA60D5"/>
    <w:rsid w:val="4B10699D"/>
    <w:rsid w:val="4CB55416"/>
    <w:rsid w:val="4D6E4D26"/>
    <w:rsid w:val="4E4F6905"/>
    <w:rsid w:val="4F155DA1"/>
    <w:rsid w:val="4FEE214E"/>
    <w:rsid w:val="5015592D"/>
    <w:rsid w:val="513B7615"/>
    <w:rsid w:val="52BB7FB0"/>
    <w:rsid w:val="53420CD4"/>
    <w:rsid w:val="53B06098"/>
    <w:rsid w:val="541F4FCC"/>
    <w:rsid w:val="54AB5DA7"/>
    <w:rsid w:val="55366A71"/>
    <w:rsid w:val="55713CC5"/>
    <w:rsid w:val="55B07EC1"/>
    <w:rsid w:val="56082A83"/>
    <w:rsid w:val="572E74B9"/>
    <w:rsid w:val="57911D3D"/>
    <w:rsid w:val="57C121AB"/>
    <w:rsid w:val="58BB5497"/>
    <w:rsid w:val="5A7122F9"/>
    <w:rsid w:val="5A8C2C8F"/>
    <w:rsid w:val="5B286E5C"/>
    <w:rsid w:val="5BA64343"/>
    <w:rsid w:val="5BEA2363"/>
    <w:rsid w:val="5C115B42"/>
    <w:rsid w:val="5C5F69F5"/>
    <w:rsid w:val="5CF16E85"/>
    <w:rsid w:val="5DB26EB1"/>
    <w:rsid w:val="5EE4309A"/>
    <w:rsid w:val="5F225B34"/>
    <w:rsid w:val="5F24652D"/>
    <w:rsid w:val="5FB23DB8"/>
    <w:rsid w:val="601644B3"/>
    <w:rsid w:val="60B371C8"/>
    <w:rsid w:val="60EC4488"/>
    <w:rsid w:val="614A4199"/>
    <w:rsid w:val="61691F7C"/>
    <w:rsid w:val="62FC19D5"/>
    <w:rsid w:val="647C11CB"/>
    <w:rsid w:val="64D82F71"/>
    <w:rsid w:val="66833198"/>
    <w:rsid w:val="66FC2F4B"/>
    <w:rsid w:val="67024D25"/>
    <w:rsid w:val="6787579F"/>
    <w:rsid w:val="67C223E6"/>
    <w:rsid w:val="67DD292A"/>
    <w:rsid w:val="6848469A"/>
    <w:rsid w:val="6A3A44B6"/>
    <w:rsid w:val="6B4D1FC7"/>
    <w:rsid w:val="6B9F6CC6"/>
    <w:rsid w:val="6B9F7ED9"/>
    <w:rsid w:val="6C334D13"/>
    <w:rsid w:val="6C9C4D78"/>
    <w:rsid w:val="6E150C55"/>
    <w:rsid w:val="6E983479"/>
    <w:rsid w:val="72150C78"/>
    <w:rsid w:val="72646574"/>
    <w:rsid w:val="72E2318E"/>
    <w:rsid w:val="73613DC2"/>
    <w:rsid w:val="73852DA3"/>
    <w:rsid w:val="73D85920"/>
    <w:rsid w:val="74F9638D"/>
    <w:rsid w:val="758B1AF7"/>
    <w:rsid w:val="75C8506C"/>
    <w:rsid w:val="75F5268D"/>
    <w:rsid w:val="762C1C24"/>
    <w:rsid w:val="76740D50"/>
    <w:rsid w:val="77D00A78"/>
    <w:rsid w:val="78554CE5"/>
    <w:rsid w:val="7858702E"/>
    <w:rsid w:val="788D49D6"/>
    <w:rsid w:val="78E75862"/>
    <w:rsid w:val="79B37DE1"/>
    <w:rsid w:val="79B50CA1"/>
    <w:rsid w:val="7A37456E"/>
    <w:rsid w:val="7A7E3F4B"/>
    <w:rsid w:val="7B4A207F"/>
    <w:rsid w:val="7B4E0432"/>
    <w:rsid w:val="7C107AA5"/>
    <w:rsid w:val="7D851DF9"/>
    <w:rsid w:val="7E9A50CB"/>
    <w:rsid w:val="7EFB4F6E"/>
    <w:rsid w:val="7F256561"/>
    <w:rsid w:val="7F903B7C"/>
    <w:rsid w:val="7FDB6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Body Text First Indent 2"/>
    <w:basedOn w:val="2"/>
    <w:unhideWhenUsed/>
    <w:qFormat/>
    <w:uiPriority w:val="99"/>
    <w:pPr>
      <w:ind w:firstLine="420" w:firstLineChars="200"/>
    </w:p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qFormat/>
    <w:uiPriority w:val="0"/>
    <w:rPr>
      <w:sz w:val="18"/>
      <w:szCs w:val="18"/>
    </w:rPr>
  </w:style>
  <w:style w:type="character" w:customStyle="1" w:styleId="10">
    <w:name w:val="页脚 Char"/>
    <w:basedOn w:val="8"/>
    <w:link w:val="3"/>
    <w:autoRedefine/>
    <w:qFormat/>
    <w:uiPriority w:val="99"/>
    <w:rPr>
      <w:sz w:val="18"/>
      <w:szCs w:val="18"/>
    </w:rPr>
  </w:style>
  <w:style w:type="character" w:customStyle="1" w:styleId="11">
    <w:name w:val="font31"/>
    <w:basedOn w:val="8"/>
    <w:qFormat/>
    <w:uiPriority w:val="0"/>
    <w:rPr>
      <w:rFonts w:hint="eastAsia" w:ascii="宋体" w:hAnsi="宋体" w:eastAsia="宋体" w:cs="宋体"/>
      <w:color w:val="000000"/>
      <w:sz w:val="21"/>
      <w:szCs w:val="21"/>
      <w:u w:val="none"/>
      <w:vertAlign w:val="superscript"/>
    </w:rPr>
  </w:style>
  <w:style w:type="character" w:customStyle="1" w:styleId="12">
    <w:name w:val="font11"/>
    <w:basedOn w:val="8"/>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ITianKong.Com</Company>
  <Pages>8</Pages>
  <Words>2076</Words>
  <Characters>2317</Characters>
  <Lines>1</Lines>
  <Paragraphs>1</Paragraphs>
  <TotalTime>12</TotalTime>
  <ScaleCrop>false</ScaleCrop>
  <LinksUpToDate>false</LinksUpToDate>
  <CharactersWithSpaces>2357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2019-06-17T00:49:00Z</dcterms:created>
  <dc:creator>陈炜霖</dc:creator>
  <cp:lastModifiedBy>陌殇</cp:lastModifiedBy>
  <dcterms:modified xsi:type="dcterms:W3CDTF">2025-05-08T01:01:54Z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B735F8F9E00F4BCD851962BABB4EB001_12</vt:lpwstr>
  </property>
  <property fmtid="{D5CDD505-2E9C-101B-9397-08002B2CF9AE}" pid="4" name="KSOTemplateDocerSaveRecord">
    <vt:lpwstr>eyJoZGlkIjoiZjNhMWZiZjQ4YTFjMmFiYmM5OTAzMDJmZjc3NTQyZGUiLCJ1c2VySWQiOiIyNjY5NzMxMDUifQ==</vt:lpwstr>
  </property>
</Properties>
</file>